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1A" w:rsidRDefault="00531B9F" w:rsidP="003C233C">
      <w:pPr>
        <w:spacing w:before="120" w:after="240" w:line="240" w:lineRule="auto"/>
        <w:outlineLvl w:val="0"/>
        <w:rPr>
          <w:rFonts w:eastAsia="Times New Roman" w:cstheme="minorHAnsi"/>
          <w:b/>
          <w:bCs/>
          <w:color w:val="3E6E26"/>
          <w:kern w:val="36"/>
          <w:sz w:val="40"/>
          <w:szCs w:val="24"/>
        </w:rPr>
      </w:pPr>
      <w:r>
        <w:rPr>
          <w:rFonts w:eastAsia="Times New Roman" w:cstheme="minorHAnsi"/>
          <w:b/>
          <w:bCs/>
          <w:color w:val="3E6E26"/>
          <w:kern w:val="36"/>
          <w:sz w:val="40"/>
          <w:szCs w:val="24"/>
        </w:rPr>
        <w:t xml:space="preserve">Skupina </w:t>
      </w:r>
      <w:r w:rsidR="005C3C1A" w:rsidRPr="005C3C1A">
        <w:rPr>
          <w:rFonts w:eastAsia="Times New Roman" w:cstheme="minorHAnsi"/>
          <w:b/>
          <w:bCs/>
          <w:color w:val="3E6E26"/>
          <w:kern w:val="36"/>
          <w:sz w:val="40"/>
          <w:szCs w:val="24"/>
        </w:rPr>
        <w:t>RecHelp reaguje na návrh odpadové legislativy MŽP a přichází s 11 nástroji na podporu recyklace</w:t>
      </w:r>
    </w:p>
    <w:p w:rsidR="005C3C1A" w:rsidRPr="005C3C1A" w:rsidRDefault="005C3C1A" w:rsidP="005C3C1A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Praha, </w:t>
      </w:r>
      <w:r w:rsidR="003162AF">
        <w:rPr>
          <w:rFonts w:cstheme="minorHAnsi"/>
          <w:b/>
        </w:rPr>
        <w:t>20</w:t>
      </w:r>
      <w:r w:rsidRPr="00670D5D">
        <w:rPr>
          <w:rFonts w:cstheme="minorHAnsi"/>
          <w:b/>
        </w:rPr>
        <w:t>. května 2019</w:t>
      </w:r>
      <w:r>
        <w:rPr>
          <w:rFonts w:cstheme="minorHAnsi"/>
          <w:b/>
        </w:rPr>
        <w:t xml:space="preserve"> </w:t>
      </w:r>
      <w:r w:rsidRPr="00670D5D">
        <w:rPr>
          <w:rFonts w:cstheme="minorHAnsi"/>
          <w:b/>
        </w:rPr>
        <w:t>– Pracovní skupina RecHelp reaguje na absenci recyklačních nástrojů v</w:t>
      </w:r>
      <w:r w:rsidR="00531B9F">
        <w:rPr>
          <w:rFonts w:cstheme="minorHAnsi"/>
          <w:b/>
        </w:rPr>
        <w:t xml:space="preserve"> balíku </w:t>
      </w:r>
      <w:r w:rsidRPr="00670D5D">
        <w:rPr>
          <w:rFonts w:cstheme="minorHAnsi"/>
          <w:b/>
        </w:rPr>
        <w:t xml:space="preserve">nové odpadové </w:t>
      </w:r>
      <w:r w:rsidR="00531B9F">
        <w:rPr>
          <w:rFonts w:cstheme="minorHAnsi"/>
          <w:b/>
        </w:rPr>
        <w:t xml:space="preserve">legislativy </w:t>
      </w:r>
      <w:r w:rsidRPr="00670D5D">
        <w:rPr>
          <w:rFonts w:cstheme="minorHAnsi"/>
          <w:b/>
        </w:rPr>
        <w:t>Ministerstva životního prostředí</w:t>
      </w:r>
      <w:r w:rsidR="00F26485">
        <w:rPr>
          <w:rFonts w:cstheme="minorHAnsi"/>
          <w:b/>
        </w:rPr>
        <w:t xml:space="preserve"> (MŽP)</w:t>
      </w:r>
      <w:r w:rsidRPr="00670D5D">
        <w:rPr>
          <w:rFonts w:cstheme="minorHAnsi"/>
          <w:b/>
        </w:rPr>
        <w:t xml:space="preserve">. </w:t>
      </w:r>
      <w:r w:rsidR="00531B9F">
        <w:rPr>
          <w:rFonts w:cstheme="minorHAnsi"/>
          <w:b/>
        </w:rPr>
        <w:t>Částečně tak n</w:t>
      </w:r>
      <w:r>
        <w:rPr>
          <w:rFonts w:cstheme="minorHAnsi"/>
          <w:b/>
        </w:rPr>
        <w:t xml:space="preserve">avazuje na iniciativu </w:t>
      </w:r>
      <w:hyperlink r:id="rId8" w:history="1">
        <w:r w:rsidRPr="00C650A2">
          <w:rPr>
            <w:rStyle w:val="Hypertextovodkaz"/>
            <w:rFonts w:cstheme="minorHAnsi"/>
            <w:b/>
          </w:rPr>
          <w:t>otevřeného dopisu</w:t>
        </w:r>
      </w:hyperlink>
      <w:r>
        <w:rPr>
          <w:rFonts w:cstheme="minorHAnsi"/>
          <w:b/>
        </w:rPr>
        <w:t>, který byl zaslán 24. dubna ministru životního prostředí</w:t>
      </w:r>
      <w:r w:rsidR="00531B9F">
        <w:rPr>
          <w:rFonts w:cstheme="minorHAnsi"/>
          <w:b/>
        </w:rPr>
        <w:t xml:space="preserve"> Brabcovi</w:t>
      </w:r>
      <w:r w:rsidR="00EA5AD8">
        <w:rPr>
          <w:rFonts w:cstheme="minorHAnsi"/>
          <w:b/>
        </w:rPr>
        <w:t>. Signatáři dopisu se rovněž shodli na absenci potřebných nástrojů k podpoře recyklace</w:t>
      </w:r>
      <w:r>
        <w:rPr>
          <w:rFonts w:cstheme="minorHAnsi"/>
          <w:b/>
        </w:rPr>
        <w:t>.</w:t>
      </w:r>
      <w:r w:rsidR="00F26485">
        <w:rPr>
          <w:rFonts w:cstheme="minorHAnsi"/>
          <w:b/>
        </w:rPr>
        <w:t xml:space="preserve"> </w:t>
      </w:r>
      <w:r w:rsidR="00EA5AD8">
        <w:rPr>
          <w:rFonts w:cstheme="minorHAnsi"/>
          <w:b/>
        </w:rPr>
        <w:t xml:space="preserve">Skupina </w:t>
      </w:r>
      <w:r>
        <w:rPr>
          <w:rFonts w:cstheme="minorHAnsi"/>
          <w:b/>
        </w:rPr>
        <w:t xml:space="preserve">RecHelp navrhuje například snížení sazby DPH na recyklované výrobky, </w:t>
      </w:r>
      <w:r w:rsidR="00531B9F">
        <w:rPr>
          <w:rFonts w:cstheme="minorHAnsi"/>
          <w:b/>
        </w:rPr>
        <w:t xml:space="preserve">jejich větší využívání v rámci veřejných zakázek, </w:t>
      </w:r>
      <w:r>
        <w:rPr>
          <w:rFonts w:cstheme="minorHAnsi"/>
          <w:b/>
        </w:rPr>
        <w:t>či jejich zapracování do technických norem</w:t>
      </w:r>
      <w:r w:rsidR="00531B9F">
        <w:rPr>
          <w:rFonts w:cstheme="minorHAnsi"/>
          <w:b/>
        </w:rPr>
        <w:t>, např</w:t>
      </w:r>
      <w:r w:rsidR="001B324E">
        <w:rPr>
          <w:rFonts w:cstheme="minorHAnsi"/>
          <w:b/>
        </w:rPr>
        <w:t>íklad</w:t>
      </w:r>
      <w:r>
        <w:rPr>
          <w:rFonts w:cstheme="minorHAnsi"/>
          <w:b/>
        </w:rPr>
        <w:t xml:space="preserve"> ve stavebnictví.</w:t>
      </w:r>
    </w:p>
    <w:p w:rsidR="00116538" w:rsidRDefault="00592B5D" w:rsidP="00116538">
      <w:pPr>
        <w:tabs>
          <w:tab w:val="left" w:pos="200"/>
        </w:tabs>
        <w:jc w:val="both"/>
        <w:rPr>
          <w:rFonts w:cstheme="minorHAnsi"/>
        </w:rPr>
      </w:pPr>
      <w:r>
        <w:rPr>
          <w:rFonts w:cstheme="minorHAnsi"/>
        </w:rPr>
        <w:t xml:space="preserve">Hlavním cílem </w:t>
      </w:r>
      <w:r w:rsidR="00531B9F">
        <w:rPr>
          <w:rFonts w:cstheme="minorHAnsi"/>
        </w:rPr>
        <w:t xml:space="preserve">této expertní </w:t>
      </w:r>
      <w:r>
        <w:rPr>
          <w:rFonts w:cstheme="minorHAnsi"/>
        </w:rPr>
        <w:t>p</w:t>
      </w:r>
      <w:r w:rsidR="005C3C1A">
        <w:rPr>
          <w:rFonts w:cstheme="minorHAnsi"/>
        </w:rPr>
        <w:t>racovní skupin</w:t>
      </w:r>
      <w:r>
        <w:rPr>
          <w:rFonts w:cstheme="minorHAnsi"/>
        </w:rPr>
        <w:t>y</w:t>
      </w:r>
      <w:r w:rsidR="00531B9F">
        <w:rPr>
          <w:rFonts w:cstheme="minorHAnsi"/>
        </w:rPr>
        <w:t xml:space="preserve"> </w:t>
      </w:r>
      <w:r>
        <w:rPr>
          <w:rFonts w:cstheme="minorHAnsi"/>
        </w:rPr>
        <w:t>je</w:t>
      </w:r>
      <w:r w:rsidR="005C3C1A">
        <w:rPr>
          <w:rFonts w:cstheme="minorHAnsi"/>
        </w:rPr>
        <w:t xml:space="preserve"> </w:t>
      </w:r>
      <w:r w:rsidR="00EA5AD8">
        <w:rPr>
          <w:rFonts w:cstheme="minorHAnsi"/>
        </w:rPr>
        <w:t>efektivně</w:t>
      </w:r>
      <w:r w:rsidR="005C3C1A">
        <w:rPr>
          <w:rFonts w:cstheme="minorHAnsi"/>
        </w:rPr>
        <w:t xml:space="preserve"> řešit problém týkající se návrhu nové odpadové legislativy připravované MŽP. </w:t>
      </w:r>
      <w:r w:rsidR="00EA5AD8">
        <w:rPr>
          <w:rFonts w:cstheme="minorHAnsi"/>
        </w:rPr>
        <w:t xml:space="preserve">Ta sice může odklonit odpady ze skládek, ale nijak nemotivuje k tomu, aby </w:t>
      </w:r>
      <w:r w:rsidR="00C650A2">
        <w:rPr>
          <w:rFonts w:cstheme="minorHAnsi"/>
        </w:rPr>
        <w:t xml:space="preserve">odkloněné odpady </w:t>
      </w:r>
      <w:r w:rsidR="00EA5AD8">
        <w:rPr>
          <w:rFonts w:cstheme="minorHAnsi"/>
        </w:rPr>
        <w:t>byly směřovány do recyklace a neskončily například v kotlech nových spaloven</w:t>
      </w:r>
      <w:r w:rsidR="00C650A2">
        <w:rPr>
          <w:rFonts w:cstheme="minorHAnsi"/>
        </w:rPr>
        <w:t xml:space="preserve"> na směsný komunální odpad</w:t>
      </w:r>
      <w:r w:rsidR="00EA5AD8">
        <w:rPr>
          <w:rFonts w:cstheme="minorHAnsi"/>
        </w:rPr>
        <w:t>. Před čímž varuje Evropská unie. Návrhy nových zákonů</w:t>
      </w:r>
      <w:r w:rsidR="005C3C1A">
        <w:rPr>
          <w:rFonts w:cstheme="minorHAnsi"/>
        </w:rPr>
        <w:t xml:space="preserve"> se aktuálně nachází v</w:t>
      </w:r>
      <w:r w:rsidR="00D2077B">
        <w:rPr>
          <w:rFonts w:cstheme="minorHAnsi"/>
        </w:rPr>
        <w:t xml:space="preserve">e </w:t>
      </w:r>
      <w:r w:rsidR="00531B9F">
        <w:rPr>
          <w:rFonts w:cstheme="minorHAnsi"/>
        </w:rPr>
        <w:t xml:space="preserve">fázi před vypořádáním připomínek z </w:t>
      </w:r>
      <w:r w:rsidR="00D2077B">
        <w:rPr>
          <w:rFonts w:cstheme="minorHAnsi"/>
        </w:rPr>
        <w:t>vnější</w:t>
      </w:r>
      <w:r w:rsidR="00531B9F">
        <w:rPr>
          <w:rFonts w:cstheme="minorHAnsi"/>
        </w:rPr>
        <w:t>ho</w:t>
      </w:r>
      <w:r w:rsidR="00D2077B">
        <w:rPr>
          <w:rFonts w:cstheme="minorHAnsi"/>
        </w:rPr>
        <w:t xml:space="preserve"> připomínkové</w:t>
      </w:r>
      <w:r w:rsidR="00531B9F">
        <w:rPr>
          <w:rFonts w:cstheme="minorHAnsi"/>
        </w:rPr>
        <w:t>ho</w:t>
      </w:r>
      <w:r w:rsidR="00D2077B">
        <w:rPr>
          <w:rFonts w:cstheme="minorHAnsi"/>
        </w:rPr>
        <w:t xml:space="preserve"> řízení.</w:t>
      </w:r>
      <w:r w:rsidR="00116538">
        <w:rPr>
          <w:rFonts w:cstheme="minorHAnsi"/>
        </w:rPr>
        <w:t xml:space="preserve"> V</w:t>
      </w:r>
      <w:r w:rsidR="00531B9F">
        <w:rPr>
          <w:rFonts w:cstheme="minorHAnsi"/>
        </w:rPr>
        <w:t> expertní skupině</w:t>
      </w:r>
      <w:r w:rsidR="00116538">
        <w:rPr>
          <w:rFonts w:cstheme="minorHAnsi"/>
        </w:rPr>
        <w:t xml:space="preserve"> RecHelp se shodují, že balík návrhů nové legislativy, včetně souvisejícího změnového zákona, neobsahuje žádné ekonomické nástroje na skutečnou podporu finální recyklace odpadů.</w:t>
      </w:r>
      <w:r w:rsidR="00531B9F">
        <w:rPr>
          <w:rFonts w:cstheme="minorHAnsi"/>
        </w:rPr>
        <w:t xml:space="preserve"> To je závažný problém, který je třeba efektivně řešit.</w:t>
      </w:r>
    </w:p>
    <w:p w:rsidR="005C3C1A" w:rsidRDefault="005C3C1A" w:rsidP="005C3C1A">
      <w:pPr>
        <w:tabs>
          <w:tab w:val="left" w:pos="200"/>
        </w:tabs>
        <w:jc w:val="both"/>
        <w:rPr>
          <w:rFonts w:cstheme="minorHAnsi"/>
        </w:rPr>
      </w:pPr>
      <w:r>
        <w:rPr>
          <w:rFonts w:cstheme="minorHAnsi"/>
        </w:rPr>
        <w:t>„</w:t>
      </w:r>
      <w:r w:rsidRPr="004E7069">
        <w:rPr>
          <w:rFonts w:cstheme="minorHAnsi"/>
          <w:i/>
        </w:rPr>
        <w:t>V </w:t>
      </w:r>
      <w:r w:rsidR="00F43D2C">
        <w:rPr>
          <w:rFonts w:cstheme="minorHAnsi"/>
          <w:i/>
        </w:rPr>
        <w:t xml:space="preserve">doprovodných dokumentech k </w:t>
      </w:r>
      <w:r w:rsidRPr="004E7069">
        <w:rPr>
          <w:rFonts w:cstheme="minorHAnsi"/>
          <w:i/>
        </w:rPr>
        <w:t>evropské směrnici o odpadech jsou uvedeny příklady ekonomických nástrojů a dalších opatření k poskytování pobídek k uplatňování hierarchie způsobů nakládání s odpady. Příkladem může být pou</w:t>
      </w:r>
      <w:r w:rsidRPr="004E7069">
        <w:rPr>
          <w:rFonts w:cstheme="minorHAnsi" w:hint="eastAsia"/>
          <w:i/>
        </w:rPr>
        <w:t>ží</w:t>
      </w:r>
      <w:r w:rsidRPr="004E7069">
        <w:rPr>
          <w:rFonts w:cstheme="minorHAnsi"/>
          <w:i/>
        </w:rPr>
        <w:t>v</w:t>
      </w:r>
      <w:r w:rsidRPr="004E7069">
        <w:rPr>
          <w:rFonts w:cstheme="minorHAnsi" w:hint="eastAsia"/>
          <w:i/>
        </w:rPr>
        <w:t>á</w:t>
      </w:r>
      <w:r w:rsidRPr="004E7069">
        <w:rPr>
          <w:rFonts w:cstheme="minorHAnsi"/>
          <w:i/>
        </w:rPr>
        <w:t>n</w:t>
      </w:r>
      <w:r w:rsidRPr="004E7069">
        <w:rPr>
          <w:rFonts w:cstheme="minorHAnsi" w:hint="eastAsia"/>
          <w:i/>
        </w:rPr>
        <w:t>í</w:t>
      </w:r>
      <w:r w:rsidRPr="004E7069">
        <w:rPr>
          <w:rFonts w:cstheme="minorHAnsi"/>
          <w:i/>
        </w:rPr>
        <w:t xml:space="preserve"> da</w:t>
      </w:r>
      <w:r w:rsidRPr="004E7069">
        <w:rPr>
          <w:rFonts w:cstheme="minorHAnsi" w:hint="eastAsia"/>
          <w:i/>
        </w:rPr>
        <w:t>ň</w:t>
      </w:r>
      <w:r w:rsidRPr="004E7069">
        <w:rPr>
          <w:rFonts w:cstheme="minorHAnsi"/>
          <w:i/>
        </w:rPr>
        <w:t>ov</w:t>
      </w:r>
      <w:r w:rsidRPr="004E7069">
        <w:rPr>
          <w:rFonts w:cstheme="minorHAnsi" w:hint="eastAsia"/>
          <w:i/>
        </w:rPr>
        <w:t>ý</w:t>
      </w:r>
      <w:r w:rsidRPr="004E7069">
        <w:rPr>
          <w:rFonts w:cstheme="minorHAnsi"/>
          <w:i/>
        </w:rPr>
        <w:t>ch opat</w:t>
      </w:r>
      <w:r w:rsidRPr="004E7069">
        <w:rPr>
          <w:rFonts w:cstheme="minorHAnsi" w:hint="eastAsia"/>
          <w:i/>
        </w:rPr>
        <w:t>ř</w:t>
      </w:r>
      <w:r w:rsidRPr="004E7069">
        <w:rPr>
          <w:rFonts w:cstheme="minorHAnsi"/>
          <w:i/>
        </w:rPr>
        <w:t>en</w:t>
      </w:r>
      <w:r w:rsidRPr="004E7069">
        <w:rPr>
          <w:rFonts w:cstheme="minorHAnsi" w:hint="eastAsia"/>
          <w:i/>
        </w:rPr>
        <w:t>í</w:t>
      </w:r>
      <w:r w:rsidRPr="004E7069">
        <w:rPr>
          <w:rFonts w:cstheme="minorHAnsi"/>
          <w:i/>
        </w:rPr>
        <w:t>, kter</w:t>
      </w:r>
      <w:r w:rsidR="00647317">
        <w:rPr>
          <w:rFonts w:cstheme="minorHAnsi"/>
          <w:i/>
        </w:rPr>
        <w:t>á</w:t>
      </w:r>
      <w:r w:rsidRPr="004E7069">
        <w:rPr>
          <w:rFonts w:cstheme="minorHAnsi"/>
          <w:i/>
        </w:rPr>
        <w:t xml:space="preserve"> podpo</w:t>
      </w:r>
      <w:r w:rsidRPr="004E7069">
        <w:rPr>
          <w:rFonts w:cstheme="minorHAnsi" w:hint="eastAsia"/>
          <w:i/>
        </w:rPr>
        <w:t>ří</w:t>
      </w:r>
      <w:r w:rsidRPr="004E7069">
        <w:rPr>
          <w:rFonts w:cstheme="minorHAnsi"/>
          <w:i/>
        </w:rPr>
        <w:t xml:space="preserve"> proniknut</w:t>
      </w:r>
      <w:r w:rsidRPr="004E7069">
        <w:rPr>
          <w:rFonts w:cstheme="minorHAnsi" w:hint="eastAsia"/>
          <w:i/>
        </w:rPr>
        <w:t>í</w:t>
      </w:r>
      <w:r w:rsidRPr="004E7069">
        <w:rPr>
          <w:rFonts w:cstheme="minorHAnsi"/>
          <w:i/>
        </w:rPr>
        <w:t xml:space="preserve"> recyklovan</w:t>
      </w:r>
      <w:r w:rsidRPr="004E7069">
        <w:rPr>
          <w:rFonts w:cstheme="minorHAnsi" w:hint="eastAsia"/>
          <w:i/>
        </w:rPr>
        <w:t>ý</w:t>
      </w:r>
      <w:r w:rsidRPr="004E7069">
        <w:rPr>
          <w:rFonts w:cstheme="minorHAnsi"/>
          <w:i/>
        </w:rPr>
        <w:t>ch v</w:t>
      </w:r>
      <w:r w:rsidRPr="004E7069">
        <w:rPr>
          <w:rFonts w:cstheme="minorHAnsi" w:hint="eastAsia"/>
          <w:i/>
        </w:rPr>
        <w:t>ý</w:t>
      </w:r>
      <w:r w:rsidRPr="004E7069">
        <w:rPr>
          <w:rFonts w:cstheme="minorHAnsi"/>
          <w:i/>
        </w:rPr>
        <w:t>robk</w:t>
      </w:r>
      <w:r w:rsidRPr="004E7069">
        <w:rPr>
          <w:rFonts w:cstheme="minorHAnsi" w:hint="eastAsia"/>
          <w:i/>
        </w:rPr>
        <w:t>ů</w:t>
      </w:r>
      <w:r w:rsidRPr="004E7069">
        <w:rPr>
          <w:rFonts w:cstheme="minorHAnsi"/>
          <w:i/>
        </w:rPr>
        <w:t xml:space="preserve"> a</w:t>
      </w:r>
      <w:r w:rsidRPr="004E7069">
        <w:rPr>
          <w:rFonts w:cstheme="minorHAnsi" w:hint="eastAsia"/>
          <w:i/>
        </w:rPr>
        <w:t> </w:t>
      </w:r>
      <w:r w:rsidRPr="004E7069">
        <w:rPr>
          <w:rFonts w:cstheme="minorHAnsi"/>
          <w:i/>
        </w:rPr>
        <w:t>materi</w:t>
      </w:r>
      <w:r w:rsidRPr="004E7069">
        <w:rPr>
          <w:rFonts w:cstheme="minorHAnsi" w:hint="eastAsia"/>
          <w:i/>
        </w:rPr>
        <w:t>á</w:t>
      </w:r>
      <w:r w:rsidRPr="004E7069">
        <w:rPr>
          <w:rFonts w:cstheme="minorHAnsi"/>
          <w:i/>
        </w:rPr>
        <w:t>l</w:t>
      </w:r>
      <w:r w:rsidRPr="004E7069">
        <w:rPr>
          <w:rFonts w:cstheme="minorHAnsi" w:hint="eastAsia"/>
          <w:i/>
        </w:rPr>
        <w:t>ů</w:t>
      </w:r>
      <w:r w:rsidRPr="004E7069">
        <w:rPr>
          <w:rFonts w:cstheme="minorHAnsi"/>
          <w:i/>
        </w:rPr>
        <w:t xml:space="preserve"> na trh, či udr</w:t>
      </w:r>
      <w:r w:rsidRPr="004E7069">
        <w:rPr>
          <w:rFonts w:cstheme="minorHAnsi" w:hint="eastAsia"/>
          <w:i/>
        </w:rPr>
        <w:t>ž</w:t>
      </w:r>
      <w:r w:rsidRPr="004E7069">
        <w:rPr>
          <w:rFonts w:cstheme="minorHAnsi"/>
          <w:i/>
        </w:rPr>
        <w:t>iteln</w:t>
      </w:r>
      <w:r w:rsidRPr="004E7069">
        <w:rPr>
          <w:rFonts w:cstheme="minorHAnsi" w:hint="eastAsia"/>
          <w:i/>
        </w:rPr>
        <w:t>é</w:t>
      </w:r>
      <w:r w:rsidRPr="004E7069">
        <w:rPr>
          <w:rFonts w:cstheme="minorHAnsi"/>
          <w:i/>
        </w:rPr>
        <w:t xml:space="preserve"> postupy zad</w:t>
      </w:r>
      <w:r w:rsidRPr="004E7069">
        <w:rPr>
          <w:rFonts w:cstheme="minorHAnsi" w:hint="eastAsia"/>
          <w:i/>
        </w:rPr>
        <w:t>á</w:t>
      </w:r>
      <w:r w:rsidRPr="004E7069">
        <w:rPr>
          <w:rFonts w:cstheme="minorHAnsi"/>
          <w:i/>
        </w:rPr>
        <w:t>v</w:t>
      </w:r>
      <w:r w:rsidRPr="004E7069">
        <w:rPr>
          <w:rFonts w:cstheme="minorHAnsi" w:hint="eastAsia"/>
          <w:i/>
        </w:rPr>
        <w:t>á</w:t>
      </w:r>
      <w:r w:rsidRPr="004E7069">
        <w:rPr>
          <w:rFonts w:cstheme="minorHAnsi"/>
          <w:i/>
        </w:rPr>
        <w:t>n</w:t>
      </w:r>
      <w:r w:rsidRPr="004E7069">
        <w:rPr>
          <w:rFonts w:cstheme="minorHAnsi" w:hint="eastAsia"/>
          <w:i/>
        </w:rPr>
        <w:t>í</w:t>
      </w:r>
      <w:r w:rsidRPr="004E7069">
        <w:rPr>
          <w:rFonts w:cstheme="minorHAnsi"/>
          <w:i/>
        </w:rPr>
        <w:t xml:space="preserve"> ve</w:t>
      </w:r>
      <w:r w:rsidRPr="004E7069">
        <w:rPr>
          <w:rFonts w:cstheme="minorHAnsi" w:hint="eastAsia"/>
          <w:i/>
        </w:rPr>
        <w:t>ř</w:t>
      </w:r>
      <w:r w:rsidRPr="004E7069">
        <w:rPr>
          <w:rFonts w:cstheme="minorHAnsi"/>
          <w:i/>
        </w:rPr>
        <w:t>ejn</w:t>
      </w:r>
      <w:r w:rsidRPr="004E7069">
        <w:rPr>
          <w:rFonts w:cstheme="minorHAnsi" w:hint="eastAsia"/>
          <w:i/>
        </w:rPr>
        <w:t>ý</w:t>
      </w:r>
      <w:r w:rsidRPr="004E7069">
        <w:rPr>
          <w:rFonts w:cstheme="minorHAnsi"/>
          <w:i/>
        </w:rPr>
        <w:t>ch zak</w:t>
      </w:r>
      <w:r w:rsidRPr="004E7069">
        <w:rPr>
          <w:rFonts w:cstheme="minorHAnsi" w:hint="eastAsia"/>
          <w:i/>
        </w:rPr>
        <w:t>á</w:t>
      </w:r>
      <w:r w:rsidRPr="004E7069">
        <w:rPr>
          <w:rFonts w:cstheme="minorHAnsi"/>
          <w:i/>
        </w:rPr>
        <w:t>zek,</w:t>
      </w:r>
      <w:r w:rsidR="00F43D2C">
        <w:rPr>
          <w:rFonts w:cstheme="minorHAnsi"/>
          <w:i/>
        </w:rPr>
        <w:t xml:space="preserve"> i zde je velký prostor pro podporu recyklace</w:t>
      </w:r>
      <w:bookmarkStart w:id="0" w:name="_GoBack"/>
      <w:bookmarkEnd w:id="0"/>
      <w:r w:rsidR="000A2F83">
        <w:rPr>
          <w:rFonts w:cstheme="minorHAnsi"/>
          <w:i/>
        </w:rPr>
        <w:t>,</w:t>
      </w:r>
      <w:r>
        <w:rPr>
          <w:rFonts w:cstheme="minorHAnsi"/>
        </w:rPr>
        <w:t xml:space="preserve">“ říká </w:t>
      </w:r>
      <w:r w:rsidR="003C3240">
        <w:rPr>
          <w:rFonts w:cstheme="minorHAnsi"/>
        </w:rPr>
        <w:t xml:space="preserve">ředitel ČAOH Petr Havelka, </w:t>
      </w:r>
      <w:r>
        <w:rPr>
          <w:rFonts w:cstheme="minorHAnsi"/>
        </w:rPr>
        <w:t>jeden z </w:t>
      </w:r>
      <w:r w:rsidR="00EA5AD8">
        <w:rPr>
          <w:rFonts w:cstheme="minorHAnsi"/>
        </w:rPr>
        <w:t>členů</w:t>
      </w:r>
      <w:r>
        <w:rPr>
          <w:rFonts w:cstheme="minorHAnsi"/>
        </w:rPr>
        <w:t xml:space="preserve"> pracovní skupiny.</w:t>
      </w:r>
    </w:p>
    <w:p w:rsidR="005C3C1A" w:rsidRDefault="005C3C1A" w:rsidP="005C3C1A">
      <w:pPr>
        <w:tabs>
          <w:tab w:val="left" w:pos="200"/>
        </w:tabs>
        <w:jc w:val="both"/>
        <w:rPr>
          <w:rFonts w:cstheme="minorHAnsi"/>
        </w:rPr>
      </w:pPr>
      <w:r>
        <w:rPr>
          <w:rFonts w:cstheme="minorHAnsi"/>
        </w:rPr>
        <w:t xml:space="preserve">Mezi </w:t>
      </w:r>
      <w:r w:rsidR="00F43D2C">
        <w:rPr>
          <w:rFonts w:cstheme="minorHAnsi"/>
        </w:rPr>
        <w:t xml:space="preserve">skupinou </w:t>
      </w:r>
      <w:r>
        <w:rPr>
          <w:rFonts w:cstheme="minorHAnsi"/>
        </w:rPr>
        <w:t xml:space="preserve">navrhovaná opatření patří například snížení sazby DPH na recyklované výrobky a recykláty. Tento nástroj je doporučován </w:t>
      </w:r>
      <w:r w:rsidR="00F43D2C">
        <w:rPr>
          <w:rFonts w:cstheme="minorHAnsi"/>
        </w:rPr>
        <w:t xml:space="preserve">i </w:t>
      </w:r>
      <w:r>
        <w:rPr>
          <w:rFonts w:cstheme="minorHAnsi"/>
        </w:rPr>
        <w:t>Evropským parlamentem</w:t>
      </w:r>
      <w:r w:rsidR="00F26485">
        <w:rPr>
          <w:rFonts w:cstheme="minorHAnsi"/>
        </w:rPr>
        <w:t xml:space="preserve"> </w:t>
      </w:r>
      <w:r>
        <w:rPr>
          <w:rFonts w:cstheme="minorHAnsi"/>
        </w:rPr>
        <w:t xml:space="preserve">Pomoci by mohlo i snížení zdanění práce v recyklačním průmyslu. Podle skupiny RecHelp je proces recyklace </w:t>
      </w:r>
      <w:r w:rsidR="00905530">
        <w:rPr>
          <w:rFonts w:cstheme="minorHAnsi"/>
        </w:rPr>
        <w:t>zpravidla ekonomicky</w:t>
      </w:r>
      <w:r w:rsidR="00293A84">
        <w:rPr>
          <w:rFonts w:cstheme="minorHAnsi"/>
        </w:rPr>
        <w:t xml:space="preserve"> </w:t>
      </w:r>
      <w:r>
        <w:rPr>
          <w:rFonts w:cstheme="minorHAnsi"/>
        </w:rPr>
        <w:t xml:space="preserve">náročnější než zpracování primárních surovin. Pracovní skupina navrhuje státu </w:t>
      </w:r>
      <w:r w:rsidR="00EA5AD8">
        <w:rPr>
          <w:rFonts w:cstheme="minorHAnsi"/>
        </w:rPr>
        <w:t xml:space="preserve">také </w:t>
      </w:r>
      <w:r>
        <w:rPr>
          <w:rFonts w:cstheme="minorHAnsi"/>
        </w:rPr>
        <w:t xml:space="preserve">zapracování využití recyklovaných materiálů a recyklátů do technických norem. </w:t>
      </w:r>
      <w:r w:rsidRPr="009E19D3">
        <w:rPr>
          <w:rFonts w:cstheme="minorHAnsi"/>
        </w:rPr>
        <w:t xml:space="preserve">V některých oborech výrobní činnosti, např. ve stavebnictví, se v hojné míře </w:t>
      </w:r>
      <w:r>
        <w:rPr>
          <w:rFonts w:cstheme="minorHAnsi"/>
        </w:rPr>
        <w:t xml:space="preserve">těchto </w:t>
      </w:r>
      <w:r w:rsidRPr="009E19D3">
        <w:rPr>
          <w:rFonts w:cstheme="minorHAnsi"/>
        </w:rPr>
        <w:t xml:space="preserve">norem využívá. </w:t>
      </w:r>
      <w:r>
        <w:rPr>
          <w:rFonts w:cstheme="minorHAnsi"/>
        </w:rPr>
        <w:t>„</w:t>
      </w:r>
      <w:r w:rsidRPr="009E19D3">
        <w:rPr>
          <w:rFonts w:cstheme="minorHAnsi"/>
          <w:i/>
        </w:rPr>
        <w:t>Pokud by se podařilo prosadit větší míru využívání recyklátů a recyklovaných výrobků ze strany projektantů, významně by to mohlo navýšit množství využívaných recyklovaných materiálů,</w:t>
      </w:r>
      <w:r w:rsidR="00116538">
        <w:rPr>
          <w:rFonts w:cstheme="minorHAnsi"/>
        </w:rPr>
        <w:t>“ dodává Havelka.</w:t>
      </w:r>
    </w:p>
    <w:p w:rsidR="00116538" w:rsidRPr="009E19D3" w:rsidRDefault="00116538" w:rsidP="00116538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</w:t>
      </w:r>
      <w:r w:rsidRPr="009E19D3">
        <w:rPr>
          <w:rFonts w:cstheme="minorHAnsi"/>
          <w:b/>
          <w:u w:val="single"/>
        </w:rPr>
        <w:t>ástroje na podporu recyklace</w:t>
      </w:r>
      <w:r>
        <w:rPr>
          <w:rFonts w:cstheme="minorHAnsi"/>
          <w:b/>
          <w:u w:val="single"/>
        </w:rPr>
        <w:t xml:space="preserve"> definované pracovní skupinou</w:t>
      </w:r>
      <w:r w:rsidRPr="009E19D3">
        <w:rPr>
          <w:rFonts w:cstheme="minorHAnsi"/>
          <w:b/>
          <w:u w:val="single"/>
        </w:rPr>
        <w:t xml:space="preserve">: </w:t>
      </w:r>
    </w:p>
    <w:p w:rsidR="00116538" w:rsidRPr="009E19D3" w:rsidRDefault="00116538" w:rsidP="0011653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E19D3">
        <w:rPr>
          <w:rFonts w:cstheme="minorHAnsi"/>
        </w:rPr>
        <w:t>Snížení sazby DPH</w:t>
      </w:r>
    </w:p>
    <w:p w:rsidR="00116538" w:rsidRPr="009E19D3" w:rsidRDefault="00116538" w:rsidP="0011653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E19D3">
        <w:rPr>
          <w:rFonts w:cstheme="minorHAnsi"/>
        </w:rPr>
        <w:t>Snížení zdanění práce v recyklačním průmyslu</w:t>
      </w:r>
    </w:p>
    <w:p w:rsidR="00116538" w:rsidRPr="009E19D3" w:rsidRDefault="00116538" w:rsidP="0011653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E19D3">
        <w:rPr>
          <w:rFonts w:cstheme="minorHAnsi"/>
        </w:rPr>
        <w:t>Závazek státu, aby ve veřejných zakázkách preferoval určité procento recyklovaných výrobků</w:t>
      </w:r>
    </w:p>
    <w:p w:rsidR="00116538" w:rsidRPr="009E19D3" w:rsidRDefault="00116538" w:rsidP="0011653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E19D3">
        <w:rPr>
          <w:rFonts w:cstheme="minorHAnsi"/>
        </w:rPr>
        <w:t xml:space="preserve">Daňové zvýhodnění recyklace v rámci daně z příjmu </w:t>
      </w:r>
    </w:p>
    <w:p w:rsidR="00116538" w:rsidRPr="009E19D3" w:rsidRDefault="00116538" w:rsidP="0011653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E19D3">
        <w:rPr>
          <w:rFonts w:cstheme="minorHAnsi"/>
        </w:rPr>
        <w:t>Podpora recyklace v rámci dotačních programů</w:t>
      </w:r>
    </w:p>
    <w:p w:rsidR="00116538" w:rsidRPr="009E19D3" w:rsidRDefault="00116538" w:rsidP="0011653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E19D3">
        <w:rPr>
          <w:rFonts w:cstheme="minorHAnsi"/>
        </w:rPr>
        <w:t>Zapracování využití recyklovaných materiálů a recyklátů do technických norem</w:t>
      </w:r>
    </w:p>
    <w:p w:rsidR="00116538" w:rsidRPr="009E19D3" w:rsidRDefault="00116538" w:rsidP="0011653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E19D3">
        <w:rPr>
          <w:rFonts w:cstheme="minorHAnsi"/>
        </w:rPr>
        <w:t>Definování efektivních nástrojů k motivaci samotných výrobců obalů a výrobků</w:t>
      </w:r>
    </w:p>
    <w:p w:rsidR="00116538" w:rsidRPr="009E19D3" w:rsidRDefault="00116538" w:rsidP="0011653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E19D3">
        <w:rPr>
          <w:rFonts w:cstheme="minorHAnsi"/>
        </w:rPr>
        <w:t>Příprava standardů pro sekundární plasty</w:t>
      </w:r>
    </w:p>
    <w:p w:rsidR="00116538" w:rsidRPr="009E19D3" w:rsidRDefault="00116538" w:rsidP="0011653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E19D3">
        <w:rPr>
          <w:rFonts w:cstheme="minorHAnsi"/>
        </w:rPr>
        <w:lastRenderedPageBreak/>
        <w:t>Vyhotovení edukačního a osvětového materiálu pro možnosti uplatnění druhotných surovin, konkrétně plastů.</w:t>
      </w:r>
    </w:p>
    <w:p w:rsidR="00116538" w:rsidRPr="009E19D3" w:rsidRDefault="00116538" w:rsidP="0011653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E19D3">
        <w:rPr>
          <w:rFonts w:cstheme="minorHAnsi"/>
        </w:rPr>
        <w:t>Potřeba evidence vzniku a využití druhotných surovin</w:t>
      </w:r>
    </w:p>
    <w:p w:rsidR="00116538" w:rsidRPr="009E19D3" w:rsidRDefault="00116538" w:rsidP="0011653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E19D3">
        <w:rPr>
          <w:rFonts w:cstheme="minorHAnsi"/>
        </w:rPr>
        <w:t>Zdanění primárních surovin</w:t>
      </w:r>
    </w:p>
    <w:p w:rsidR="005C3C1A" w:rsidRDefault="005C3C1A" w:rsidP="005C3C1A">
      <w:pPr>
        <w:jc w:val="both"/>
        <w:rPr>
          <w:rFonts w:cstheme="minorHAnsi"/>
        </w:rPr>
      </w:pPr>
      <w:r>
        <w:rPr>
          <w:rFonts w:cstheme="minorHAnsi"/>
        </w:rPr>
        <w:t xml:space="preserve">Evropské cíle oběhového hospodářství, ke kterým se Česká republika zavázala, stanovují úroveň recyklace komunálního odpadu </w:t>
      </w:r>
      <w:r w:rsidR="00EA5AD8">
        <w:rPr>
          <w:rFonts w:cstheme="minorHAnsi"/>
        </w:rPr>
        <w:t xml:space="preserve">minimálně </w:t>
      </w:r>
      <w:r>
        <w:rPr>
          <w:rFonts w:cstheme="minorHAnsi"/>
        </w:rPr>
        <w:t xml:space="preserve">na 65 % </w:t>
      </w:r>
      <w:r w:rsidR="00C650A2">
        <w:rPr>
          <w:rFonts w:cstheme="minorHAnsi"/>
        </w:rPr>
        <w:t>k</w:t>
      </w:r>
      <w:r>
        <w:rPr>
          <w:rFonts w:cstheme="minorHAnsi"/>
        </w:rPr>
        <w:t xml:space="preserve"> roku 2035. Podle ČAOH je klíčovým faktorem v této problematice poptávka po recyklovaných výrobních. „</w:t>
      </w:r>
      <w:r w:rsidRPr="0055744F">
        <w:rPr>
          <w:rFonts w:cstheme="minorHAnsi"/>
          <w:i/>
        </w:rPr>
        <w:t xml:space="preserve">Bez systémového zajištění poptávky po </w:t>
      </w:r>
      <w:r w:rsidR="00EA5AD8">
        <w:rPr>
          <w:rFonts w:cstheme="minorHAnsi"/>
          <w:i/>
        </w:rPr>
        <w:t xml:space="preserve">recyklovaných </w:t>
      </w:r>
      <w:r w:rsidRPr="0055744F">
        <w:rPr>
          <w:rFonts w:cstheme="minorHAnsi"/>
          <w:i/>
        </w:rPr>
        <w:t>výrobcích a bez podpory firmám</w:t>
      </w:r>
      <w:r>
        <w:rPr>
          <w:rFonts w:cstheme="minorHAnsi"/>
          <w:i/>
        </w:rPr>
        <w:t>, které je zpracovávají,</w:t>
      </w:r>
      <w:r w:rsidRPr="0055744F">
        <w:rPr>
          <w:rFonts w:cstheme="minorHAnsi"/>
          <w:i/>
        </w:rPr>
        <w:t xml:space="preserve"> není reálné očekávat naplnění evropských recyklačních cílů,</w:t>
      </w:r>
      <w:r>
        <w:rPr>
          <w:rFonts w:cstheme="minorHAnsi"/>
        </w:rPr>
        <w:t xml:space="preserve">“ říká Petr Havelka. Dle údajů ČSÚ se v České republice třídí a následně recykluje pouze </w:t>
      </w:r>
      <w:r w:rsidR="00C650A2">
        <w:rPr>
          <w:rFonts w:cstheme="minorHAnsi"/>
        </w:rPr>
        <w:t>34</w:t>
      </w:r>
      <w:r w:rsidR="00293A84">
        <w:rPr>
          <w:rFonts w:cstheme="minorHAnsi"/>
        </w:rPr>
        <w:t xml:space="preserve"> </w:t>
      </w:r>
      <w:r>
        <w:rPr>
          <w:rFonts w:cstheme="minorHAnsi"/>
        </w:rPr>
        <w:t>% odpadu</w:t>
      </w:r>
      <w:r w:rsidR="00C650A2">
        <w:rPr>
          <w:rFonts w:cstheme="minorHAnsi"/>
        </w:rPr>
        <w:t>, dle MŽP je to 38 %</w:t>
      </w:r>
      <w:r>
        <w:rPr>
          <w:rFonts w:cstheme="minorHAnsi"/>
        </w:rPr>
        <w:t xml:space="preserve">. To znamená, že bude </w:t>
      </w:r>
      <w:r w:rsidRPr="0055744F">
        <w:rPr>
          <w:rFonts w:cstheme="minorHAnsi"/>
        </w:rPr>
        <w:t xml:space="preserve">nutné za příštích 15 let navýšit procento recyklace </w:t>
      </w:r>
      <w:r>
        <w:rPr>
          <w:rFonts w:cstheme="minorHAnsi"/>
        </w:rPr>
        <w:t>všech</w:t>
      </w:r>
      <w:r w:rsidRPr="0055744F">
        <w:rPr>
          <w:rFonts w:cstheme="minorHAnsi"/>
        </w:rPr>
        <w:t xml:space="preserve"> komunálních odpadů o </w:t>
      </w:r>
      <w:r w:rsidR="00C650A2">
        <w:rPr>
          <w:rFonts w:cstheme="minorHAnsi"/>
        </w:rPr>
        <w:t xml:space="preserve">dalších </w:t>
      </w:r>
      <w:r w:rsidRPr="0055744F">
        <w:rPr>
          <w:rFonts w:cstheme="minorHAnsi"/>
        </w:rPr>
        <w:t>cca 30</w:t>
      </w:r>
      <w:r>
        <w:rPr>
          <w:rFonts w:cstheme="minorHAnsi"/>
        </w:rPr>
        <w:t xml:space="preserve"> </w:t>
      </w:r>
      <w:r w:rsidRPr="0055744F">
        <w:rPr>
          <w:rFonts w:cstheme="minorHAnsi"/>
        </w:rPr>
        <w:t>%</w:t>
      </w:r>
      <w:r>
        <w:rPr>
          <w:rFonts w:cstheme="minorHAnsi"/>
        </w:rPr>
        <w:t>. (resp. více než 1,4 milionu tun komunálních odpadů).</w:t>
      </w:r>
      <w:r w:rsidRPr="0055744F">
        <w:rPr>
          <w:rFonts w:cstheme="minorHAnsi"/>
        </w:rPr>
        <w:t xml:space="preserve"> </w:t>
      </w:r>
      <w:r>
        <w:rPr>
          <w:rFonts w:cstheme="minorHAnsi"/>
        </w:rPr>
        <w:t>„</w:t>
      </w:r>
      <w:r w:rsidRPr="0055744F">
        <w:rPr>
          <w:rFonts w:cstheme="minorHAnsi"/>
          <w:i/>
        </w:rPr>
        <w:t>Nezbytný předpokladem vysoké recyklace je dostatečná míra separace komunálních odpadů až do finálního roku 2035, ke kterému jsou cíle stanoveny. Bude proto nezbytné v podmínkách ČR pokračovat v další intenzifikaci sběrné sítě barevných kontejnerů na tříděný odpad, v kombinaci s technologickým tříděním, či dotříděním, dle potřeby s ohledem na evropské cíle</w:t>
      </w:r>
      <w:r>
        <w:rPr>
          <w:rFonts w:cstheme="minorHAnsi"/>
          <w:i/>
        </w:rPr>
        <w:t>,</w:t>
      </w:r>
      <w:r>
        <w:rPr>
          <w:rFonts w:cstheme="minorHAnsi"/>
        </w:rPr>
        <w:t>“ dodává ředitel Česk</w:t>
      </w:r>
      <w:r w:rsidR="00C650A2">
        <w:rPr>
          <w:rFonts w:cstheme="minorHAnsi"/>
        </w:rPr>
        <w:t>é</w:t>
      </w:r>
      <w:r>
        <w:rPr>
          <w:rFonts w:cstheme="minorHAnsi"/>
        </w:rPr>
        <w:t xml:space="preserve"> asociace odpadového hospodářství. </w:t>
      </w:r>
    </w:p>
    <w:p w:rsidR="005C3C1A" w:rsidRDefault="005C3C1A" w:rsidP="003C233C">
      <w:pPr>
        <w:spacing w:after="0"/>
        <w:rPr>
          <w:b/>
        </w:rPr>
      </w:pPr>
    </w:p>
    <w:p w:rsidR="00592B5D" w:rsidRDefault="00592B5D" w:rsidP="003C233C">
      <w:pPr>
        <w:spacing w:after="0"/>
        <w:rPr>
          <w:b/>
        </w:rPr>
      </w:pPr>
    </w:p>
    <w:p w:rsidR="00F60E20" w:rsidRPr="003C233C" w:rsidRDefault="00F60E20" w:rsidP="003C233C">
      <w:pPr>
        <w:spacing w:after="0"/>
        <w:rPr>
          <w:b/>
        </w:rPr>
      </w:pPr>
      <w:r w:rsidRPr="003C233C">
        <w:rPr>
          <w:b/>
        </w:rPr>
        <w:t>O České asociaci odpadového hospodářství</w:t>
      </w:r>
    </w:p>
    <w:p w:rsidR="00F60E20" w:rsidRPr="003C233C" w:rsidRDefault="00F60E20" w:rsidP="003C233C">
      <w:pPr>
        <w:spacing w:after="0"/>
        <w:jc w:val="both"/>
      </w:pPr>
      <w:r w:rsidRPr="003C233C">
        <w:t>Česká asociace odpadového hospodářství (ČAOH) je největší oborovou asociací v České republice, která sdružuje významné podnikatelské subjekty v oblasti recyklace, využívání, odstraňování, svozu a sběru odpadů. ČAOH působí na českém trhu již 19 let a v současnosti pod ni spadá více než 95 společností. Cílem asociace je ochrana volného trhu a zdravého konkurenčního prostředí v odpadovém hospodářství ČR, podpora členských společností, ochrana zájmů původců odpadů (obcí, firem) a oprávněných osob, a to mimo jiné aktivní spoluprací na tvorbě právních předpisů, které ovlivňují podnikání v oblasti nakládání s odpady. V posledních letech se ČAOH vstupem nových členů dále rozrostla o významné recyklační firmy, recyklující v ČR řádově stovky tisíc tun druhotných surovin.</w:t>
      </w:r>
    </w:p>
    <w:p w:rsidR="00240D0F" w:rsidRPr="003C233C" w:rsidRDefault="0009533F" w:rsidP="003C233C">
      <w:pPr>
        <w:jc w:val="both"/>
      </w:pPr>
      <w:hyperlink r:id="rId9" w:history="1">
        <w:r w:rsidR="00F60E20" w:rsidRPr="003C233C">
          <w:t>www.caoh.cz</w:t>
        </w:r>
      </w:hyperlink>
    </w:p>
    <w:p w:rsidR="00282CFA" w:rsidRDefault="00282CFA">
      <w:pPr>
        <w:spacing w:after="0" w:line="200" w:lineRule="atLeast"/>
        <w:jc w:val="both"/>
        <w:rPr>
          <w:rFonts w:eastAsia="Times New Roman" w:cstheme="minorHAnsi"/>
          <w:szCs w:val="14"/>
        </w:rPr>
      </w:pPr>
    </w:p>
    <w:p w:rsidR="00DA07EE" w:rsidRDefault="00DA07EE" w:rsidP="00DA07EE">
      <w:pPr>
        <w:pStyle w:val="Bezmezer"/>
        <w:rPr>
          <w:rFonts w:eastAsia="Times New Roman"/>
        </w:rPr>
      </w:pPr>
    </w:p>
    <w:p w:rsidR="00DA07EE" w:rsidRDefault="00DA07EE" w:rsidP="00DA07EE">
      <w:pPr>
        <w:pStyle w:val="Bezmezer"/>
        <w:rPr>
          <w:rFonts w:cs="Arial"/>
          <w:b/>
        </w:rPr>
      </w:pPr>
      <w:r w:rsidRPr="005415A0">
        <w:rPr>
          <w:rFonts w:cs="Arial"/>
          <w:b/>
        </w:rPr>
        <w:t>V případě z</w:t>
      </w:r>
      <w:r w:rsidR="00354E61">
        <w:rPr>
          <w:rFonts w:cs="Arial"/>
          <w:b/>
        </w:rPr>
        <w:t>ájmu o bližší informace, prosím</w:t>
      </w:r>
      <w:r w:rsidR="00EA450F">
        <w:rPr>
          <w:rFonts w:cs="Arial"/>
          <w:b/>
        </w:rPr>
        <w:t>,</w:t>
      </w:r>
      <w:r w:rsidRPr="005415A0">
        <w:rPr>
          <w:rFonts w:cs="Arial"/>
          <w:b/>
        </w:rPr>
        <w:t xml:space="preserve"> kontaktujte:</w:t>
      </w:r>
    </w:p>
    <w:p w:rsidR="00DA07EE" w:rsidRPr="00DA07EE" w:rsidRDefault="00DA07EE" w:rsidP="00DA07EE">
      <w:pPr>
        <w:pStyle w:val="Bezmezer"/>
        <w:rPr>
          <w:rFonts w:cs="Arial"/>
        </w:rPr>
      </w:pPr>
      <w:r w:rsidRPr="00DA07EE">
        <w:rPr>
          <w:rFonts w:cs="Arial"/>
        </w:rPr>
        <w:t>Stance Communications, s.r.o.</w:t>
      </w:r>
    </w:p>
    <w:p w:rsidR="00DA07EE" w:rsidRDefault="00DA07EE" w:rsidP="00DA07EE">
      <w:pPr>
        <w:pStyle w:val="Bezmezer"/>
        <w:rPr>
          <w:rFonts w:cs="Arial"/>
        </w:rPr>
      </w:pPr>
      <w:r w:rsidRPr="00DA07EE">
        <w:rPr>
          <w:rFonts w:cs="Arial"/>
        </w:rPr>
        <w:t>Eva Presová</w:t>
      </w:r>
    </w:p>
    <w:p w:rsidR="00DA07EE" w:rsidRPr="00DA07EE" w:rsidRDefault="00DA07EE" w:rsidP="00DA07EE">
      <w:pPr>
        <w:pStyle w:val="Bezmezer"/>
        <w:rPr>
          <w:rFonts w:cs="Arial"/>
        </w:rPr>
      </w:pPr>
      <w:r w:rsidRPr="00DA07EE">
        <w:rPr>
          <w:rFonts w:cs="Arial"/>
        </w:rPr>
        <w:t>Account Manager</w:t>
      </w:r>
    </w:p>
    <w:p w:rsidR="00DA07EE" w:rsidRPr="00DA07EE" w:rsidRDefault="00DA07EE" w:rsidP="00DA07EE">
      <w:pPr>
        <w:pStyle w:val="Bezmezer"/>
        <w:rPr>
          <w:rFonts w:cs="Arial"/>
        </w:rPr>
      </w:pPr>
      <w:r w:rsidRPr="00DA07EE">
        <w:rPr>
          <w:rFonts w:cs="Arial"/>
        </w:rPr>
        <w:t>Tel.: +420 224 810 809</w:t>
      </w:r>
    </w:p>
    <w:p w:rsidR="00DA07EE" w:rsidRPr="00A833DC" w:rsidRDefault="00DA07EE" w:rsidP="00DA07EE">
      <w:pPr>
        <w:pStyle w:val="Bezmezer"/>
        <w:rPr>
          <w:rFonts w:cs="Arial"/>
        </w:rPr>
      </w:pPr>
      <w:r w:rsidRPr="00DA07EE">
        <w:rPr>
          <w:rFonts w:cs="Arial"/>
        </w:rPr>
        <w:t xml:space="preserve">E-mail: </w:t>
      </w:r>
      <w:hyperlink r:id="rId10" w:history="1">
        <w:r w:rsidRPr="00DA07EE">
          <w:rPr>
            <w:rStyle w:val="Hypertextovodkaz"/>
            <w:rFonts w:cs="Arial"/>
          </w:rPr>
          <w:t>eva.presova@stance.cz</w:t>
        </w:r>
      </w:hyperlink>
      <w:r w:rsidRPr="00DA07EE">
        <w:rPr>
          <w:rFonts w:cs="Arial"/>
        </w:rPr>
        <w:t xml:space="preserve"> </w:t>
      </w:r>
    </w:p>
    <w:sectPr w:rsidR="00DA07EE" w:rsidRPr="00A833DC" w:rsidSect="004933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C2" w:rsidRDefault="00281AC2" w:rsidP="00CA5A5C">
      <w:pPr>
        <w:spacing w:after="0" w:line="240" w:lineRule="auto"/>
      </w:pPr>
      <w:r>
        <w:separator/>
      </w:r>
    </w:p>
  </w:endnote>
  <w:endnote w:type="continuationSeparator" w:id="0">
    <w:p w:rsidR="00281AC2" w:rsidRDefault="00281AC2" w:rsidP="00CA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C2" w:rsidRDefault="00281AC2" w:rsidP="00CA5A5C">
      <w:pPr>
        <w:spacing w:after="0" w:line="240" w:lineRule="auto"/>
      </w:pPr>
      <w:r>
        <w:separator/>
      </w:r>
    </w:p>
  </w:footnote>
  <w:footnote w:type="continuationSeparator" w:id="0">
    <w:p w:rsidR="00281AC2" w:rsidRDefault="00281AC2" w:rsidP="00CA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20" w:rsidRDefault="00F60E20" w:rsidP="00CA5A5C">
    <w:pPr>
      <w:pStyle w:val="Zhlav"/>
      <w:tabs>
        <w:tab w:val="clear" w:pos="4536"/>
        <w:tab w:val="clear" w:pos="9072"/>
        <w:tab w:val="right" w:pos="0"/>
      </w:tabs>
    </w:pPr>
    <w:r w:rsidRPr="00CA5A5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3462655</wp:posOffset>
          </wp:positionH>
          <wp:positionV relativeFrom="paragraph">
            <wp:posOffset>-125730</wp:posOffset>
          </wp:positionV>
          <wp:extent cx="2400300" cy="466725"/>
          <wp:effectExtent l="0" t="0" r="0" b="0"/>
          <wp:wrapTight wrapText="bothSides">
            <wp:wrapPolygon edited="0">
              <wp:start x="857" y="0"/>
              <wp:lineTo x="171" y="14106"/>
              <wp:lineTo x="1200" y="19396"/>
              <wp:lineTo x="1371" y="19396"/>
              <wp:lineTo x="9943" y="19396"/>
              <wp:lineTo x="16800" y="19396"/>
              <wp:lineTo x="21257" y="17633"/>
              <wp:lineTo x="21257" y="11461"/>
              <wp:lineTo x="13543" y="5290"/>
              <wp:lineTo x="3086" y="0"/>
              <wp:lineTo x="857" y="0"/>
            </wp:wrapPolygon>
          </wp:wrapTight>
          <wp:docPr id="2" name="obrázek 1" descr="CAO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OH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E20" w:rsidRDefault="00F60E20" w:rsidP="00CA5A5C">
    <w:pPr>
      <w:pStyle w:val="Zhlav"/>
      <w:tabs>
        <w:tab w:val="clear" w:pos="4536"/>
        <w:tab w:val="clear" w:pos="9072"/>
        <w:tab w:val="right" w:pos="0"/>
      </w:tabs>
    </w:pPr>
    <w:r>
      <w:t>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465E"/>
    <w:multiLevelType w:val="hybridMultilevel"/>
    <w:tmpl w:val="895C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63D7"/>
    <w:rsid w:val="00004E9C"/>
    <w:rsid w:val="0002072B"/>
    <w:rsid w:val="0009533F"/>
    <w:rsid w:val="0009648F"/>
    <w:rsid w:val="000A2F83"/>
    <w:rsid w:val="000E064F"/>
    <w:rsid w:val="00100382"/>
    <w:rsid w:val="00116538"/>
    <w:rsid w:val="00141037"/>
    <w:rsid w:val="00155602"/>
    <w:rsid w:val="00172B2C"/>
    <w:rsid w:val="001A4B30"/>
    <w:rsid w:val="001A64CF"/>
    <w:rsid w:val="001B324E"/>
    <w:rsid w:val="001D358A"/>
    <w:rsid w:val="00240D0F"/>
    <w:rsid w:val="0025249F"/>
    <w:rsid w:val="00254050"/>
    <w:rsid w:val="00281AC2"/>
    <w:rsid w:val="00282CFA"/>
    <w:rsid w:val="00293A84"/>
    <w:rsid w:val="00312565"/>
    <w:rsid w:val="003162AF"/>
    <w:rsid w:val="00354E61"/>
    <w:rsid w:val="003B332E"/>
    <w:rsid w:val="003C233C"/>
    <w:rsid w:val="003C3240"/>
    <w:rsid w:val="003E4B82"/>
    <w:rsid w:val="003F02DE"/>
    <w:rsid w:val="004017E7"/>
    <w:rsid w:val="00403A39"/>
    <w:rsid w:val="00435672"/>
    <w:rsid w:val="00461731"/>
    <w:rsid w:val="004632C5"/>
    <w:rsid w:val="00480321"/>
    <w:rsid w:val="0049335F"/>
    <w:rsid w:val="004B0597"/>
    <w:rsid w:val="004B4EED"/>
    <w:rsid w:val="00506E3D"/>
    <w:rsid w:val="0052460F"/>
    <w:rsid w:val="005306FA"/>
    <w:rsid w:val="00531B9F"/>
    <w:rsid w:val="00567631"/>
    <w:rsid w:val="005857DC"/>
    <w:rsid w:val="00592B5D"/>
    <w:rsid w:val="005C09CA"/>
    <w:rsid w:val="005C3C1A"/>
    <w:rsid w:val="006038CD"/>
    <w:rsid w:val="00647317"/>
    <w:rsid w:val="006520AA"/>
    <w:rsid w:val="00663FDE"/>
    <w:rsid w:val="006963D7"/>
    <w:rsid w:val="006C2685"/>
    <w:rsid w:val="00722250"/>
    <w:rsid w:val="007B384A"/>
    <w:rsid w:val="007D050C"/>
    <w:rsid w:val="008626A0"/>
    <w:rsid w:val="00887E7D"/>
    <w:rsid w:val="008936ED"/>
    <w:rsid w:val="008E6995"/>
    <w:rsid w:val="008F1DA8"/>
    <w:rsid w:val="00901B28"/>
    <w:rsid w:val="00905530"/>
    <w:rsid w:val="0092746F"/>
    <w:rsid w:val="0093316C"/>
    <w:rsid w:val="00945D98"/>
    <w:rsid w:val="0095603C"/>
    <w:rsid w:val="00981E07"/>
    <w:rsid w:val="009E421A"/>
    <w:rsid w:val="009F6F44"/>
    <w:rsid w:val="00A15B12"/>
    <w:rsid w:val="00A20EF5"/>
    <w:rsid w:val="00A71EC0"/>
    <w:rsid w:val="00A833DC"/>
    <w:rsid w:val="00A8422D"/>
    <w:rsid w:val="00A85098"/>
    <w:rsid w:val="00AD360A"/>
    <w:rsid w:val="00B03A99"/>
    <w:rsid w:val="00B35E95"/>
    <w:rsid w:val="00B42C07"/>
    <w:rsid w:val="00B60FBB"/>
    <w:rsid w:val="00B64F52"/>
    <w:rsid w:val="00B65395"/>
    <w:rsid w:val="00B7340F"/>
    <w:rsid w:val="00C32DAA"/>
    <w:rsid w:val="00C3705B"/>
    <w:rsid w:val="00C650A2"/>
    <w:rsid w:val="00C700F9"/>
    <w:rsid w:val="00C70B66"/>
    <w:rsid w:val="00CA5A5C"/>
    <w:rsid w:val="00CC2DB2"/>
    <w:rsid w:val="00D2077B"/>
    <w:rsid w:val="00D51F06"/>
    <w:rsid w:val="00D64707"/>
    <w:rsid w:val="00D733C3"/>
    <w:rsid w:val="00D7668D"/>
    <w:rsid w:val="00D86F82"/>
    <w:rsid w:val="00D91CAC"/>
    <w:rsid w:val="00DA07EE"/>
    <w:rsid w:val="00DB0140"/>
    <w:rsid w:val="00DC0941"/>
    <w:rsid w:val="00DD378D"/>
    <w:rsid w:val="00DD78A2"/>
    <w:rsid w:val="00E4462A"/>
    <w:rsid w:val="00EA450F"/>
    <w:rsid w:val="00EA5A26"/>
    <w:rsid w:val="00EA5AD8"/>
    <w:rsid w:val="00EA70C5"/>
    <w:rsid w:val="00EC35EE"/>
    <w:rsid w:val="00EE6290"/>
    <w:rsid w:val="00EF5BB4"/>
    <w:rsid w:val="00F17654"/>
    <w:rsid w:val="00F241FE"/>
    <w:rsid w:val="00F26485"/>
    <w:rsid w:val="00F31221"/>
    <w:rsid w:val="00F43D2C"/>
    <w:rsid w:val="00F60E20"/>
    <w:rsid w:val="00F7797C"/>
    <w:rsid w:val="00FA330F"/>
    <w:rsid w:val="00FC3F00"/>
    <w:rsid w:val="00FD132C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33C"/>
    <w:pPr>
      <w:spacing w:after="120"/>
    </w:pPr>
  </w:style>
  <w:style w:type="paragraph" w:styleId="Nadpis1">
    <w:name w:val="heading 1"/>
    <w:basedOn w:val="Normln"/>
    <w:link w:val="Nadpis1Char"/>
    <w:uiPriority w:val="9"/>
    <w:qFormat/>
    <w:rsid w:val="00696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696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7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3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63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963D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963D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963D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312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2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2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2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221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ln"/>
    <w:rsid w:val="001A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Standardnpsmoodstavce"/>
    <w:rsid w:val="001A4B30"/>
  </w:style>
  <w:style w:type="paragraph" w:styleId="Zhlav">
    <w:name w:val="header"/>
    <w:basedOn w:val="Normln"/>
    <w:link w:val="ZhlavChar"/>
    <w:uiPriority w:val="99"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A5C"/>
  </w:style>
  <w:style w:type="paragraph" w:styleId="Zpat">
    <w:name w:val="footer"/>
    <w:basedOn w:val="Normln"/>
    <w:link w:val="ZpatChar"/>
    <w:uiPriority w:val="99"/>
    <w:semiHidden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5A5C"/>
  </w:style>
  <w:style w:type="character" w:customStyle="1" w:styleId="Nadpis4Char">
    <w:name w:val="Nadpis 4 Char"/>
    <w:basedOn w:val="Standardnpsmoodstavce"/>
    <w:link w:val="Nadpis4"/>
    <w:uiPriority w:val="9"/>
    <w:rsid w:val="00EA7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C3C1A"/>
    <w:pPr>
      <w:spacing w:after="200"/>
      <w:ind w:left="720"/>
      <w:contextualSpacing/>
    </w:pPr>
  </w:style>
  <w:style w:type="paragraph" w:styleId="Bezmezer">
    <w:name w:val="No Spacing"/>
    <w:uiPriority w:val="1"/>
    <w:qFormat/>
    <w:rsid w:val="00DA0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33C"/>
    <w:pPr>
      <w:spacing w:after="120"/>
    </w:pPr>
  </w:style>
  <w:style w:type="paragraph" w:styleId="Nadpis1">
    <w:name w:val="heading 1"/>
    <w:basedOn w:val="Normln"/>
    <w:link w:val="Nadpis1Char"/>
    <w:uiPriority w:val="9"/>
    <w:qFormat/>
    <w:rsid w:val="00696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696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7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3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63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Normln"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963D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963D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963D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312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2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2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2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221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ln"/>
    <w:rsid w:val="001A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Standardnpsmoodstavce"/>
    <w:rsid w:val="001A4B30"/>
  </w:style>
  <w:style w:type="paragraph" w:styleId="Zhlav">
    <w:name w:val="header"/>
    <w:basedOn w:val="Normln"/>
    <w:link w:val="ZhlavChar"/>
    <w:uiPriority w:val="99"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A5C"/>
  </w:style>
  <w:style w:type="paragraph" w:styleId="Zpat">
    <w:name w:val="footer"/>
    <w:basedOn w:val="Normln"/>
    <w:link w:val="ZpatChar"/>
    <w:uiPriority w:val="99"/>
    <w:semiHidden/>
    <w:unhideWhenUsed/>
    <w:rsid w:val="00C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5A5C"/>
  </w:style>
  <w:style w:type="character" w:customStyle="1" w:styleId="Nadpis4Char">
    <w:name w:val="Nadpis 4 Char"/>
    <w:basedOn w:val="Standardnpsmoodstavce"/>
    <w:link w:val="Nadpis4"/>
    <w:uiPriority w:val="9"/>
    <w:rsid w:val="00EA7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C3C1A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oh.cz/data/action/2019.04.24-otevreny-dopis-f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a.presova@stan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oh.cz/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51994-C5CE-4050-B015-761A2149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jana.priklopilova</dc:creator>
  <cp:lastModifiedBy>eva.presova</cp:lastModifiedBy>
  <cp:revision>11</cp:revision>
  <dcterms:created xsi:type="dcterms:W3CDTF">2019-05-16T15:26:00Z</dcterms:created>
  <dcterms:modified xsi:type="dcterms:W3CDTF">2019-05-20T12:56:00Z</dcterms:modified>
</cp:coreProperties>
</file>