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9" w:type="dxa"/>
        <w:tblInd w:w="18" w:type="dxa"/>
        <w:tblLayout w:type="fixed"/>
        <w:tblLook w:val="0000"/>
      </w:tblPr>
      <w:tblGrid>
        <w:gridCol w:w="4968"/>
        <w:gridCol w:w="1260"/>
        <w:gridCol w:w="3081"/>
      </w:tblGrid>
      <w:tr w:rsidR="00AA3619" w:rsidRPr="00A15891" w:rsidTr="00B23221">
        <w:tc>
          <w:tcPr>
            <w:tcW w:w="4968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AA3619" w:rsidRPr="00A15891" w:rsidRDefault="00031663" w:rsidP="00031663">
            <w:pPr>
              <w:snapToGrid w:val="0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shd w:val="clear" w:color="auto" w:fill="FFFFFF"/>
              </w:rPr>
              <w:drawing>
                <wp:inline distT="0" distB="0" distL="0" distR="0">
                  <wp:extent cx="2166536" cy="828675"/>
                  <wp:effectExtent l="0" t="0" r="0" b="0"/>
                  <wp:docPr id="1" name="Obrázek 1" descr="S:\cs-marketing\Rebranding Amundi 2017\Amundi loga\Logo_d'Amund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cs-marketing\Rebranding Amundi 2017\Amundi loga\Logo_d'Amundi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17546" b="9640"/>
                          <a:stretch/>
                        </pic:blipFill>
                        <pic:spPr bwMode="auto">
                          <a:xfrm>
                            <a:off x="0" y="0"/>
                            <a:ext cx="2179846" cy="83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A3619" w:rsidRPr="00A15891">
              <w:rPr>
                <w:rFonts w:ascii="Arial" w:hAnsi="Arial" w:cs="Arial"/>
              </w:rPr>
              <w:t xml:space="preserve">              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19" w:rsidRPr="00A15891" w:rsidRDefault="00AA3619" w:rsidP="00A8797F">
            <w:pPr>
              <w:pStyle w:val="Zhlav"/>
              <w:snapToGrid w:val="0"/>
              <w:rPr>
                <w:rFonts w:cs="Arial"/>
                <w:b/>
                <w:bCs/>
                <w:position w:val="-19"/>
              </w:rPr>
            </w:pPr>
            <w:r w:rsidRPr="00A15891">
              <w:rPr>
                <w:rFonts w:cs="Arial"/>
                <w:b/>
                <w:bCs/>
                <w:position w:val="-19"/>
              </w:rPr>
              <w:t>Datum: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19" w:rsidRPr="00A15891" w:rsidRDefault="00081643" w:rsidP="000C6A69">
            <w:pPr>
              <w:pStyle w:val="Zhlav"/>
              <w:snapToGrid w:val="0"/>
              <w:rPr>
                <w:rFonts w:cs="Arial"/>
                <w:position w:val="-19"/>
              </w:rPr>
            </w:pPr>
            <w:r>
              <w:rPr>
                <w:rFonts w:cs="Arial"/>
                <w:position w:val="-19"/>
              </w:rPr>
              <w:t>13</w:t>
            </w:r>
            <w:r w:rsidR="00445E0E">
              <w:rPr>
                <w:rFonts w:cs="Arial"/>
                <w:position w:val="-19"/>
              </w:rPr>
              <w:t>.</w:t>
            </w:r>
            <w:r w:rsidR="000C6A69">
              <w:rPr>
                <w:rFonts w:cs="Arial"/>
                <w:position w:val="-19"/>
              </w:rPr>
              <w:t>5</w:t>
            </w:r>
            <w:r w:rsidR="00074EA7">
              <w:rPr>
                <w:rFonts w:cs="Arial"/>
                <w:position w:val="-19"/>
              </w:rPr>
              <w:t>.</w:t>
            </w:r>
            <w:r w:rsidR="00C7105F">
              <w:rPr>
                <w:rFonts w:cs="Arial"/>
                <w:position w:val="-19"/>
              </w:rPr>
              <w:t xml:space="preserve"> </w:t>
            </w:r>
            <w:r w:rsidR="0017096D">
              <w:rPr>
                <w:rFonts w:cs="Arial"/>
                <w:position w:val="-19"/>
              </w:rPr>
              <w:t>201</w:t>
            </w:r>
            <w:r w:rsidR="00445E0E">
              <w:rPr>
                <w:rFonts w:cs="Arial"/>
                <w:position w:val="-19"/>
              </w:rPr>
              <w:t>9</w:t>
            </w:r>
          </w:p>
        </w:tc>
      </w:tr>
      <w:tr w:rsidR="00AA3619" w:rsidRPr="00A15891" w:rsidTr="00B23221">
        <w:tc>
          <w:tcPr>
            <w:tcW w:w="496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A3619" w:rsidRPr="00A15891" w:rsidRDefault="00AA3619" w:rsidP="00A8797F">
            <w:pPr>
              <w:snapToGrid w:val="0"/>
              <w:jc w:val="both"/>
              <w:rPr>
                <w:rFonts w:ascii="Arial" w:hAnsi="Arial" w:cs="Arial"/>
                <w:b/>
                <w:position w:val="-19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19" w:rsidRPr="00A15891" w:rsidRDefault="00AA3619" w:rsidP="00A8797F">
            <w:pPr>
              <w:pStyle w:val="Zhlav"/>
              <w:snapToGrid w:val="0"/>
              <w:rPr>
                <w:rFonts w:cs="Arial"/>
                <w:b/>
                <w:bCs/>
                <w:position w:val="-19"/>
              </w:rPr>
            </w:pPr>
            <w:r w:rsidRPr="00A15891">
              <w:rPr>
                <w:rFonts w:cs="Arial"/>
                <w:b/>
                <w:bCs/>
                <w:position w:val="-19"/>
              </w:rPr>
              <w:t>Místo: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19" w:rsidRPr="00A15891" w:rsidRDefault="00FD58A1" w:rsidP="00A8797F">
            <w:pPr>
              <w:pStyle w:val="Zhlav"/>
              <w:snapToGrid w:val="0"/>
              <w:rPr>
                <w:rFonts w:cs="Arial"/>
                <w:position w:val="-19"/>
              </w:rPr>
            </w:pPr>
            <w:r>
              <w:rPr>
                <w:rFonts w:cs="Arial"/>
                <w:position w:val="-19"/>
              </w:rPr>
              <w:t>Praha</w:t>
            </w:r>
          </w:p>
        </w:tc>
      </w:tr>
      <w:tr w:rsidR="00AA3619" w:rsidRPr="00A15891" w:rsidTr="00B23221">
        <w:trPr>
          <w:trHeight w:val="454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1663" w:rsidRPr="00A15891" w:rsidRDefault="0017096D" w:rsidP="00031663">
            <w:pPr>
              <w:pStyle w:val="Zhlav"/>
              <w:snapToGrid w:val="0"/>
              <w:ind w:left="-56" w:firstLine="336"/>
              <w:rPr>
                <w:rFonts w:cs="Arial"/>
                <w:b/>
                <w:bCs/>
                <w:szCs w:val="20"/>
              </w:rPr>
            </w:pPr>
            <w:r>
              <w:t xml:space="preserve">Skupina </w:t>
            </w:r>
            <w:proofErr w:type="spellStart"/>
            <w:r w:rsidR="00C34C4F">
              <w:t>Amundi</w:t>
            </w:r>
            <w:proofErr w:type="spellEnd"/>
            <w:r w:rsidR="00C34C4F">
              <w:t xml:space="preserve"> </w:t>
            </w:r>
            <w:proofErr w:type="spellStart"/>
            <w:r w:rsidR="00C34C4F">
              <w:t>Czech</w:t>
            </w:r>
            <w:proofErr w:type="spellEnd"/>
            <w:r w:rsidR="00C34C4F">
              <w:t xml:space="preserve"> </w:t>
            </w:r>
            <w:proofErr w:type="spellStart"/>
            <w:r w:rsidR="00C34C4F">
              <w:t>Republic</w:t>
            </w:r>
            <w:proofErr w:type="spellEnd"/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3619" w:rsidRPr="00A15891" w:rsidRDefault="00AA3619" w:rsidP="00A8797F">
            <w:pPr>
              <w:pStyle w:val="Zhlav"/>
              <w:snapToGrid w:val="0"/>
              <w:rPr>
                <w:rFonts w:cs="Arial"/>
                <w:b/>
                <w:position w:val="5"/>
                <w:sz w:val="24"/>
              </w:rPr>
            </w:pPr>
            <w:r w:rsidRPr="00A15891">
              <w:rPr>
                <w:rFonts w:cs="Arial"/>
                <w:b/>
                <w:position w:val="5"/>
                <w:sz w:val="24"/>
              </w:rPr>
              <w:t xml:space="preserve">Tisková zpráva </w:t>
            </w:r>
          </w:p>
        </w:tc>
      </w:tr>
    </w:tbl>
    <w:p w:rsidR="00A04F0B" w:rsidRDefault="00A04F0B" w:rsidP="001A1A7B">
      <w:pPr>
        <w:jc w:val="both"/>
        <w:rPr>
          <w:rFonts w:ascii="Arial" w:hAnsi="Arial" w:cs="Arial"/>
          <w:b/>
          <w:sz w:val="28"/>
          <w:szCs w:val="28"/>
          <w:shd w:val="clear" w:color="auto" w:fill="FFFFFF"/>
        </w:rPr>
      </w:pPr>
    </w:p>
    <w:p w:rsidR="00081643" w:rsidRPr="00081643" w:rsidRDefault="00081643" w:rsidP="00081643">
      <w:pPr>
        <w:jc w:val="both"/>
        <w:rPr>
          <w:rFonts w:ascii="Arial" w:hAnsi="Arial" w:cs="Arial"/>
          <w:b/>
          <w:sz w:val="28"/>
          <w:szCs w:val="28"/>
          <w:shd w:val="clear" w:color="auto" w:fill="FFFFFF"/>
        </w:rPr>
      </w:pPr>
      <w:proofErr w:type="spellStart"/>
      <w:r w:rsidRPr="00081643">
        <w:rPr>
          <w:rFonts w:ascii="Arial" w:hAnsi="Arial" w:cs="Arial"/>
          <w:b/>
          <w:sz w:val="28"/>
          <w:szCs w:val="28"/>
          <w:shd w:val="clear" w:color="auto" w:fill="FFFFFF"/>
        </w:rPr>
        <w:t>Amundi</w:t>
      </w:r>
      <w:proofErr w:type="spellEnd"/>
      <w:r w:rsidRPr="00081643">
        <w:rPr>
          <w:rFonts w:ascii="Arial" w:hAnsi="Arial" w:cs="Arial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081643">
        <w:rPr>
          <w:rFonts w:ascii="Arial" w:hAnsi="Arial" w:cs="Arial"/>
          <w:b/>
          <w:sz w:val="28"/>
          <w:szCs w:val="28"/>
          <w:shd w:val="clear" w:color="auto" w:fill="FFFFFF"/>
        </w:rPr>
        <w:t>Buy</w:t>
      </w:r>
      <w:proofErr w:type="spellEnd"/>
      <w:r w:rsidRPr="00081643">
        <w:rPr>
          <w:rFonts w:ascii="Arial" w:hAnsi="Arial" w:cs="Arial"/>
          <w:b/>
          <w:sz w:val="28"/>
          <w:szCs w:val="28"/>
          <w:shd w:val="clear" w:color="auto" w:fill="FFFFFF"/>
        </w:rPr>
        <w:t xml:space="preserve"> &amp; </w:t>
      </w:r>
      <w:proofErr w:type="spellStart"/>
      <w:r w:rsidRPr="00081643">
        <w:rPr>
          <w:rFonts w:ascii="Arial" w:hAnsi="Arial" w:cs="Arial"/>
          <w:b/>
          <w:sz w:val="28"/>
          <w:szCs w:val="28"/>
          <w:shd w:val="clear" w:color="auto" w:fill="FFFFFF"/>
        </w:rPr>
        <w:t>Watch</w:t>
      </w:r>
      <w:proofErr w:type="spellEnd"/>
      <w:r w:rsidRPr="00081643">
        <w:rPr>
          <w:rFonts w:ascii="Arial" w:hAnsi="Arial" w:cs="Arial"/>
          <w:b/>
          <w:sz w:val="28"/>
          <w:szCs w:val="28"/>
          <w:shd w:val="clear" w:color="auto" w:fill="FFFFFF"/>
        </w:rPr>
        <w:t>: investovat do dluhopisů se stále vyplácí</w:t>
      </w:r>
    </w:p>
    <w:p w:rsidR="00081643" w:rsidRDefault="00081643" w:rsidP="00081643">
      <w:pPr>
        <w:jc w:val="both"/>
      </w:pPr>
    </w:p>
    <w:p w:rsidR="00081643" w:rsidRPr="00517360" w:rsidRDefault="00081643" w:rsidP="00081643">
      <w:pPr>
        <w:jc w:val="both"/>
        <w:rPr>
          <w:rFonts w:ascii="Arial" w:hAnsi="Arial" w:cs="Arial"/>
          <w:b/>
          <w:sz w:val="20"/>
        </w:rPr>
      </w:pPr>
      <w:r w:rsidRPr="003674E2">
        <w:rPr>
          <w:rFonts w:ascii="Arial" w:hAnsi="Arial" w:cs="Arial"/>
          <w:b/>
          <w:bCs/>
          <w:sz w:val="20"/>
          <w:szCs w:val="20"/>
        </w:rPr>
        <w:t xml:space="preserve">Praha, </w:t>
      </w:r>
      <w:r>
        <w:rPr>
          <w:rFonts w:ascii="Arial" w:hAnsi="Arial" w:cs="Arial"/>
          <w:b/>
          <w:bCs/>
          <w:sz w:val="20"/>
          <w:szCs w:val="20"/>
        </w:rPr>
        <w:t>13</w:t>
      </w:r>
      <w:r w:rsidRPr="003674E2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>května</w:t>
      </w:r>
      <w:r w:rsidRPr="003674E2">
        <w:rPr>
          <w:rFonts w:ascii="Arial" w:hAnsi="Arial" w:cs="Arial"/>
          <w:b/>
          <w:bCs/>
          <w:sz w:val="20"/>
          <w:szCs w:val="20"/>
        </w:rPr>
        <w:t xml:space="preserve"> 2019</w:t>
      </w:r>
      <w:r>
        <w:rPr>
          <w:rFonts w:ascii="Arial" w:hAnsi="Arial" w:cs="Arial"/>
          <w:b/>
          <w:bCs/>
          <w:sz w:val="20"/>
          <w:szCs w:val="20"/>
        </w:rPr>
        <w:t xml:space="preserve"> - </w:t>
      </w:r>
      <w:r w:rsidRPr="00517360">
        <w:rPr>
          <w:rFonts w:ascii="Arial" w:hAnsi="Arial" w:cs="Arial"/>
          <w:b/>
          <w:sz w:val="20"/>
        </w:rPr>
        <w:t xml:space="preserve">Lidé, kteří nevyhledávají zvýšené investiční riziko, dávají přirozeně přednost dluhopisům. Dluhopisy jsou pro ně bezpečnou volbou, jak zhodnotit volné prostředky.  Oceňují u nich především srozumitelnost a předvídatelnost (předem známý výnos a délku investice). Na trhu existují dvě možnosti, jak investovat do dluhopisů – napřímo, tzn., že investujeme do dluhopisů vydaných státem nebo firmou, nebo prostřednictvím dluhopisového fondu. Obě možnosti mají svá pro a proti. Skupina </w:t>
      </w:r>
      <w:proofErr w:type="spellStart"/>
      <w:r w:rsidRPr="00517360">
        <w:rPr>
          <w:rFonts w:ascii="Arial" w:hAnsi="Arial" w:cs="Arial"/>
          <w:b/>
          <w:sz w:val="20"/>
        </w:rPr>
        <w:t>Amundi</w:t>
      </w:r>
      <w:proofErr w:type="spellEnd"/>
      <w:r w:rsidRPr="00517360">
        <w:rPr>
          <w:rFonts w:ascii="Arial" w:hAnsi="Arial" w:cs="Arial"/>
          <w:b/>
          <w:sz w:val="20"/>
        </w:rPr>
        <w:t xml:space="preserve"> se </w:t>
      </w:r>
      <w:proofErr w:type="gramStart"/>
      <w:r w:rsidRPr="00517360">
        <w:rPr>
          <w:rFonts w:ascii="Arial" w:hAnsi="Arial" w:cs="Arial"/>
          <w:b/>
          <w:sz w:val="20"/>
        </w:rPr>
        <w:t>rozhodla</w:t>
      </w:r>
      <w:proofErr w:type="gramEnd"/>
      <w:r w:rsidRPr="00517360">
        <w:rPr>
          <w:rFonts w:ascii="Arial" w:hAnsi="Arial" w:cs="Arial"/>
          <w:b/>
          <w:sz w:val="20"/>
        </w:rPr>
        <w:t xml:space="preserve"> spojit výhody obou řešení a </w:t>
      </w:r>
      <w:r>
        <w:rPr>
          <w:rFonts w:ascii="Arial" w:hAnsi="Arial" w:cs="Arial"/>
          <w:b/>
          <w:sz w:val="20"/>
        </w:rPr>
        <w:t xml:space="preserve">uvedla na trh </w:t>
      </w:r>
      <w:r w:rsidRPr="00517360">
        <w:rPr>
          <w:rFonts w:ascii="Arial" w:hAnsi="Arial" w:cs="Arial"/>
          <w:b/>
          <w:sz w:val="20"/>
        </w:rPr>
        <w:t xml:space="preserve">fond </w:t>
      </w:r>
      <w:proofErr w:type="spellStart"/>
      <w:r w:rsidRPr="00517360">
        <w:rPr>
          <w:rFonts w:ascii="Arial" w:hAnsi="Arial" w:cs="Arial"/>
          <w:b/>
          <w:sz w:val="20"/>
        </w:rPr>
        <w:t>Buy</w:t>
      </w:r>
      <w:proofErr w:type="spellEnd"/>
      <w:r w:rsidRPr="00517360">
        <w:rPr>
          <w:rFonts w:ascii="Arial" w:hAnsi="Arial" w:cs="Arial"/>
          <w:b/>
          <w:sz w:val="20"/>
        </w:rPr>
        <w:t xml:space="preserve"> &amp; </w:t>
      </w:r>
      <w:proofErr w:type="spellStart"/>
      <w:r w:rsidRPr="00517360">
        <w:rPr>
          <w:rFonts w:ascii="Arial" w:hAnsi="Arial" w:cs="Arial"/>
          <w:b/>
          <w:sz w:val="20"/>
        </w:rPr>
        <w:t>Watch</w:t>
      </w:r>
      <w:proofErr w:type="spellEnd"/>
      <w:r>
        <w:rPr>
          <w:rFonts w:ascii="Arial" w:hAnsi="Arial" w:cs="Arial"/>
          <w:b/>
          <w:sz w:val="20"/>
        </w:rPr>
        <w:t>, jenž</w:t>
      </w:r>
      <w:r w:rsidRPr="00517360">
        <w:rPr>
          <w:rFonts w:ascii="Arial" w:hAnsi="Arial" w:cs="Arial"/>
          <w:b/>
          <w:sz w:val="20"/>
        </w:rPr>
        <w:t xml:space="preserve"> je vhodným řešením pro </w:t>
      </w:r>
      <w:r>
        <w:rPr>
          <w:rFonts w:ascii="Arial" w:hAnsi="Arial" w:cs="Arial"/>
          <w:b/>
          <w:sz w:val="20"/>
        </w:rPr>
        <w:t>ty,</w:t>
      </w:r>
      <w:r w:rsidRPr="00517360">
        <w:rPr>
          <w:rFonts w:ascii="Arial" w:hAnsi="Arial" w:cs="Arial"/>
          <w:b/>
          <w:sz w:val="20"/>
        </w:rPr>
        <w:t xml:space="preserve"> které současná situace na dluhopisovém trhu zneklidňuje. Ta je totiž kvůli </w:t>
      </w:r>
      <w:r>
        <w:rPr>
          <w:rFonts w:ascii="Arial" w:hAnsi="Arial" w:cs="Arial"/>
          <w:b/>
          <w:sz w:val="20"/>
        </w:rPr>
        <w:t xml:space="preserve">některým </w:t>
      </w:r>
      <w:proofErr w:type="spellStart"/>
      <w:r>
        <w:rPr>
          <w:rFonts w:ascii="Arial" w:hAnsi="Arial" w:cs="Arial"/>
          <w:b/>
          <w:sz w:val="20"/>
        </w:rPr>
        <w:t>korporátním</w:t>
      </w:r>
      <w:proofErr w:type="spellEnd"/>
      <w:r>
        <w:rPr>
          <w:rFonts w:ascii="Arial" w:hAnsi="Arial" w:cs="Arial"/>
          <w:b/>
          <w:sz w:val="20"/>
        </w:rPr>
        <w:t xml:space="preserve"> </w:t>
      </w:r>
      <w:r w:rsidRPr="00517360">
        <w:rPr>
          <w:rFonts w:ascii="Arial" w:hAnsi="Arial" w:cs="Arial"/>
          <w:b/>
          <w:sz w:val="20"/>
        </w:rPr>
        <w:t xml:space="preserve">dluhopisům </w:t>
      </w:r>
      <w:r>
        <w:rPr>
          <w:rFonts w:ascii="Arial" w:hAnsi="Arial" w:cs="Arial"/>
          <w:b/>
          <w:sz w:val="20"/>
        </w:rPr>
        <w:t>méně důvěryhodných</w:t>
      </w:r>
      <w:r w:rsidRPr="00517360">
        <w:rPr>
          <w:rFonts w:ascii="Arial" w:hAnsi="Arial" w:cs="Arial"/>
          <w:b/>
          <w:sz w:val="20"/>
        </w:rPr>
        <w:t xml:space="preserve"> firem tak znepokojující, že se do jejího řešení vložila i Česká národní banka.</w:t>
      </w:r>
    </w:p>
    <w:p w:rsidR="00081643" w:rsidRPr="00517360" w:rsidRDefault="00081643" w:rsidP="00081643">
      <w:pPr>
        <w:jc w:val="both"/>
        <w:rPr>
          <w:rFonts w:ascii="Arial" w:hAnsi="Arial" w:cs="Arial"/>
          <w:sz w:val="20"/>
        </w:rPr>
      </w:pPr>
    </w:p>
    <w:p w:rsidR="00081643" w:rsidRPr="00517360" w:rsidRDefault="00081643" w:rsidP="00081643">
      <w:pPr>
        <w:jc w:val="both"/>
        <w:rPr>
          <w:rFonts w:ascii="Arial" w:hAnsi="Arial" w:cs="Arial"/>
          <w:sz w:val="20"/>
        </w:rPr>
      </w:pPr>
      <w:r w:rsidRPr="00517360">
        <w:rPr>
          <w:rFonts w:ascii="Arial" w:hAnsi="Arial" w:cs="Arial"/>
          <w:sz w:val="20"/>
        </w:rPr>
        <w:t xml:space="preserve">Na českém trhu se v posledních několika letech objevila řada dluhopisů lákající investory na vysoké zhodnocení. Velmi často se jednalo o dluhopisy firem, jež v našich podmínkách měly krátkou historii, nebyly zcela transparentní a často neměly ani žádný rating. V současné době se touto problematikou zaobírá i ČNB, která se snaží najít vhodný způsob regulace.  </w:t>
      </w:r>
    </w:p>
    <w:p w:rsidR="00081643" w:rsidRPr="00517360" w:rsidRDefault="00081643" w:rsidP="00081643">
      <w:pPr>
        <w:jc w:val="both"/>
        <w:rPr>
          <w:rFonts w:ascii="Arial" w:hAnsi="Arial" w:cs="Arial"/>
          <w:sz w:val="20"/>
        </w:rPr>
      </w:pPr>
    </w:p>
    <w:p w:rsidR="00081643" w:rsidRPr="00517360" w:rsidRDefault="00081643" w:rsidP="00081643">
      <w:pPr>
        <w:jc w:val="both"/>
        <w:rPr>
          <w:rFonts w:ascii="Arial" w:hAnsi="Arial" w:cs="Arial"/>
          <w:sz w:val="20"/>
        </w:rPr>
      </w:pPr>
      <w:r w:rsidRPr="00517360">
        <w:rPr>
          <w:rFonts w:ascii="Arial" w:hAnsi="Arial" w:cs="Arial"/>
          <w:sz w:val="20"/>
        </w:rPr>
        <w:t xml:space="preserve">Myšlenka emitovat </w:t>
      </w:r>
      <w:proofErr w:type="spellStart"/>
      <w:r w:rsidRPr="00517360">
        <w:rPr>
          <w:rFonts w:ascii="Arial" w:hAnsi="Arial" w:cs="Arial"/>
          <w:sz w:val="20"/>
        </w:rPr>
        <w:t>korporátní</w:t>
      </w:r>
      <w:proofErr w:type="spellEnd"/>
      <w:r w:rsidRPr="00517360">
        <w:rPr>
          <w:rFonts w:ascii="Arial" w:hAnsi="Arial" w:cs="Arial"/>
          <w:sz w:val="20"/>
        </w:rPr>
        <w:t xml:space="preserve"> dluhopisy menších firem je jednoduchá: investor si koupí dluhopis, u</w:t>
      </w:r>
      <w:r>
        <w:rPr>
          <w:rFonts w:ascii="Arial" w:hAnsi="Arial" w:cs="Arial"/>
          <w:sz w:val="20"/>
        </w:rPr>
        <w:t> </w:t>
      </w:r>
      <w:r w:rsidRPr="00517360">
        <w:rPr>
          <w:rFonts w:ascii="Arial" w:hAnsi="Arial" w:cs="Arial"/>
          <w:sz w:val="20"/>
        </w:rPr>
        <w:t xml:space="preserve">kterého předem zná konkrétní výnos v určitém časovém horizontu. Většina investorů si však neuvědomuje rizika spojená s nakupováním  dluhopisů konkrétních společností. Jedná se o sázku na jednu kartu a investor tak může ztratit celou svou investici. </w:t>
      </w:r>
    </w:p>
    <w:p w:rsidR="00081643" w:rsidRPr="00517360" w:rsidRDefault="00081643" w:rsidP="00081643">
      <w:pPr>
        <w:jc w:val="both"/>
        <w:rPr>
          <w:rFonts w:ascii="Arial" w:hAnsi="Arial" w:cs="Arial"/>
          <w:sz w:val="20"/>
        </w:rPr>
      </w:pPr>
    </w:p>
    <w:p w:rsidR="00081643" w:rsidRPr="00517360" w:rsidRDefault="00081643" w:rsidP="00081643">
      <w:pPr>
        <w:jc w:val="both"/>
        <w:rPr>
          <w:rFonts w:ascii="Arial" w:hAnsi="Arial" w:cs="Arial"/>
          <w:sz w:val="20"/>
        </w:rPr>
      </w:pPr>
      <w:r w:rsidRPr="00517360">
        <w:rPr>
          <w:rFonts w:ascii="Arial" w:hAnsi="Arial" w:cs="Arial"/>
          <w:sz w:val="20"/>
        </w:rPr>
        <w:t xml:space="preserve">To u standardního dluhopisového fondu nehrozí. V jeho portfoliu najdeme desítky dluhopisů. Případné selhání jednoho dluhopisu tak fond neohrozí. Zásadní výhodou oproti přímé investici je diverzifikace – tedy rozkládání investičního rizika na vícero aktiv, s čímž souvisí i výhoda možných změn v daném portfoliu fondu. Současně mají otevřené podílové fondy i příznivý daňový režim – stačí aktiva držet alespoň tři roky a výnos je pak osvobozen od daně z příjmů. Naproti tomu u investování do konkrétních dluhopisů jsou výnosy z kupónu poníženy o 15procentní srážkovou daň. Nevýhodou standardního dluhopisového fondu je absence informace o výnosu. Investoři tak dopředu nevědí, jakou výkonnost fondu mohou očekávat. </w:t>
      </w:r>
    </w:p>
    <w:p w:rsidR="00081643" w:rsidRPr="00517360" w:rsidRDefault="00081643" w:rsidP="00081643">
      <w:pPr>
        <w:jc w:val="both"/>
        <w:rPr>
          <w:rFonts w:ascii="Arial" w:hAnsi="Arial" w:cs="Arial"/>
          <w:sz w:val="20"/>
        </w:rPr>
      </w:pPr>
    </w:p>
    <w:p w:rsidR="00081643" w:rsidRPr="00517360" w:rsidRDefault="00081643" w:rsidP="00081643">
      <w:pPr>
        <w:jc w:val="both"/>
        <w:rPr>
          <w:rFonts w:ascii="Arial" w:hAnsi="Arial" w:cs="Arial"/>
          <w:sz w:val="20"/>
        </w:rPr>
      </w:pPr>
      <w:proofErr w:type="spellStart"/>
      <w:r w:rsidRPr="00517360">
        <w:rPr>
          <w:rFonts w:ascii="Arial" w:hAnsi="Arial" w:cs="Arial"/>
          <w:sz w:val="20"/>
        </w:rPr>
        <w:t>Amundi</w:t>
      </w:r>
      <w:proofErr w:type="spellEnd"/>
      <w:r w:rsidRPr="00517360">
        <w:rPr>
          <w:rFonts w:ascii="Arial" w:hAnsi="Arial" w:cs="Arial"/>
          <w:sz w:val="20"/>
        </w:rPr>
        <w:t xml:space="preserve"> ve fondu </w:t>
      </w:r>
      <w:proofErr w:type="spellStart"/>
      <w:r w:rsidRPr="00517360">
        <w:rPr>
          <w:rFonts w:ascii="Arial" w:hAnsi="Arial" w:cs="Arial"/>
          <w:sz w:val="20"/>
        </w:rPr>
        <w:t>Buy</w:t>
      </w:r>
      <w:proofErr w:type="spellEnd"/>
      <w:r w:rsidRPr="00517360">
        <w:rPr>
          <w:rFonts w:ascii="Arial" w:hAnsi="Arial" w:cs="Arial"/>
          <w:sz w:val="20"/>
        </w:rPr>
        <w:t xml:space="preserve"> &amp; </w:t>
      </w:r>
      <w:proofErr w:type="spellStart"/>
      <w:r w:rsidRPr="00517360">
        <w:rPr>
          <w:rFonts w:ascii="Arial" w:hAnsi="Arial" w:cs="Arial"/>
          <w:sz w:val="20"/>
        </w:rPr>
        <w:t>Watch</w:t>
      </w:r>
      <w:proofErr w:type="spellEnd"/>
      <w:r w:rsidRPr="00517360">
        <w:rPr>
          <w:rFonts w:ascii="Arial" w:hAnsi="Arial" w:cs="Arial"/>
          <w:sz w:val="20"/>
        </w:rPr>
        <w:t xml:space="preserve"> kombinuje to nejlepší z obou světů. Nabízí nejen výhodu předem stanoveného výnosu, ale také široce diverzifikované portfolio </w:t>
      </w:r>
      <w:proofErr w:type="spellStart"/>
      <w:r w:rsidRPr="00517360">
        <w:rPr>
          <w:rFonts w:ascii="Arial" w:hAnsi="Arial" w:cs="Arial"/>
          <w:sz w:val="20"/>
        </w:rPr>
        <w:t>korporátních</w:t>
      </w:r>
      <w:proofErr w:type="spellEnd"/>
      <w:r w:rsidRPr="00517360">
        <w:rPr>
          <w:rFonts w:ascii="Arial" w:hAnsi="Arial" w:cs="Arial"/>
          <w:sz w:val="20"/>
        </w:rPr>
        <w:t xml:space="preserve"> dluhopisů, u nějž navíc silný tým kreditních analytiků kontinuálně sleduje hospodaření jednotlivých emitentů a jejich finanční situaci. Z činnosti nakupování a bedlivého pozorování vývoje tak vyplývá i název fondu.</w:t>
      </w:r>
    </w:p>
    <w:p w:rsidR="00081643" w:rsidRPr="00517360" w:rsidRDefault="00081643" w:rsidP="00081643">
      <w:pPr>
        <w:jc w:val="both"/>
        <w:rPr>
          <w:rFonts w:ascii="Arial" w:hAnsi="Arial" w:cs="Arial"/>
          <w:sz w:val="20"/>
        </w:rPr>
      </w:pPr>
    </w:p>
    <w:p w:rsidR="00081643" w:rsidRPr="00517360" w:rsidRDefault="00081643" w:rsidP="00081643">
      <w:pPr>
        <w:jc w:val="both"/>
        <w:rPr>
          <w:rFonts w:ascii="Arial" w:hAnsi="Arial" w:cs="Arial"/>
          <w:sz w:val="20"/>
        </w:rPr>
      </w:pPr>
      <w:r w:rsidRPr="00517360">
        <w:rPr>
          <w:rFonts w:ascii="Arial" w:hAnsi="Arial" w:cs="Arial"/>
          <w:sz w:val="20"/>
        </w:rPr>
        <w:t xml:space="preserve">V případě fondu </w:t>
      </w:r>
      <w:proofErr w:type="spellStart"/>
      <w:r w:rsidRPr="00517360">
        <w:rPr>
          <w:rFonts w:ascii="Arial" w:hAnsi="Arial" w:cs="Arial"/>
          <w:sz w:val="20"/>
        </w:rPr>
        <w:t>Amundi</w:t>
      </w:r>
      <w:proofErr w:type="spellEnd"/>
      <w:r w:rsidRPr="00517360">
        <w:rPr>
          <w:rFonts w:ascii="Arial" w:hAnsi="Arial" w:cs="Arial"/>
          <w:sz w:val="20"/>
        </w:rPr>
        <w:t xml:space="preserve"> investoři dopředu znají výnos do doby splatnosti, který je nyní odhadován okolo tří procent ročně. Konečný výnos bude ale záviset zejména na vývoji nákladů na měnové zajištění CZK/EUR. Výkyvy kurzů jsou tudíž zajištěny do české koruny, což je další z předností tohoto fondu. Jeho portfolio tvoří na 70 pečlivě vybíraných dluhopisů z celého světa. Jedná se o státní i</w:t>
      </w:r>
      <w:r>
        <w:rPr>
          <w:rFonts w:ascii="Arial" w:hAnsi="Arial" w:cs="Arial"/>
          <w:sz w:val="20"/>
        </w:rPr>
        <w:t> </w:t>
      </w:r>
      <w:r w:rsidRPr="00517360">
        <w:rPr>
          <w:rFonts w:ascii="Arial" w:hAnsi="Arial" w:cs="Arial"/>
          <w:sz w:val="20"/>
        </w:rPr>
        <w:t xml:space="preserve">firemní dluhopisy, které mají splatnost kolem šesti let. </w:t>
      </w:r>
    </w:p>
    <w:p w:rsidR="00081643" w:rsidRPr="00517360" w:rsidRDefault="00081643" w:rsidP="00081643">
      <w:pPr>
        <w:jc w:val="both"/>
        <w:rPr>
          <w:rFonts w:ascii="Arial" w:hAnsi="Arial" w:cs="Arial"/>
          <w:sz w:val="20"/>
        </w:rPr>
      </w:pPr>
    </w:p>
    <w:p w:rsidR="00081643" w:rsidRPr="00517360" w:rsidRDefault="00081643" w:rsidP="00081643">
      <w:pPr>
        <w:jc w:val="both"/>
        <w:rPr>
          <w:rFonts w:ascii="Arial" w:hAnsi="Arial" w:cs="Arial"/>
          <w:sz w:val="20"/>
        </w:rPr>
      </w:pPr>
      <w:r w:rsidRPr="00517360">
        <w:rPr>
          <w:rFonts w:ascii="Arial" w:hAnsi="Arial" w:cs="Arial"/>
          <w:sz w:val="20"/>
        </w:rPr>
        <w:t xml:space="preserve">Fond </w:t>
      </w:r>
      <w:proofErr w:type="spellStart"/>
      <w:r w:rsidRPr="00517360">
        <w:rPr>
          <w:rFonts w:ascii="Arial" w:hAnsi="Arial" w:cs="Arial"/>
          <w:sz w:val="20"/>
        </w:rPr>
        <w:t>Amundi</w:t>
      </w:r>
      <w:proofErr w:type="spellEnd"/>
      <w:r w:rsidRPr="00517360">
        <w:rPr>
          <w:rFonts w:ascii="Arial" w:hAnsi="Arial" w:cs="Arial"/>
          <w:sz w:val="20"/>
        </w:rPr>
        <w:t xml:space="preserve"> </w:t>
      </w:r>
      <w:proofErr w:type="spellStart"/>
      <w:r w:rsidRPr="00517360">
        <w:rPr>
          <w:rFonts w:ascii="Arial" w:hAnsi="Arial" w:cs="Arial"/>
          <w:sz w:val="20"/>
        </w:rPr>
        <w:t>Buy</w:t>
      </w:r>
      <w:proofErr w:type="spellEnd"/>
      <w:r w:rsidRPr="00517360">
        <w:rPr>
          <w:rFonts w:ascii="Arial" w:hAnsi="Arial" w:cs="Arial"/>
          <w:sz w:val="20"/>
        </w:rPr>
        <w:t xml:space="preserve"> &amp; </w:t>
      </w:r>
      <w:proofErr w:type="spellStart"/>
      <w:r w:rsidRPr="00517360">
        <w:rPr>
          <w:rFonts w:ascii="Arial" w:hAnsi="Arial" w:cs="Arial"/>
          <w:sz w:val="20"/>
        </w:rPr>
        <w:t>Watch</w:t>
      </w:r>
      <w:proofErr w:type="spellEnd"/>
      <w:r w:rsidRPr="00517360">
        <w:rPr>
          <w:rFonts w:ascii="Arial" w:hAnsi="Arial" w:cs="Arial"/>
          <w:sz w:val="20"/>
        </w:rPr>
        <w:t xml:space="preserve"> je určen pro všechny investory, kteří uvažují o investici s horizontem šesti let a nevyhledávají varianty se zvýšeným rizikem. Zároveň zde získají dopředu údaj o tom, kolik jim investice do fondu vynese. A k tomu kvalitní diverzifikaci svých aktiv.</w:t>
      </w:r>
    </w:p>
    <w:p w:rsidR="00081643" w:rsidRPr="00517360" w:rsidRDefault="00081643" w:rsidP="00081643">
      <w:pPr>
        <w:jc w:val="both"/>
        <w:rPr>
          <w:rFonts w:ascii="Arial" w:hAnsi="Arial" w:cs="Arial"/>
          <w:sz w:val="20"/>
        </w:rPr>
      </w:pPr>
    </w:p>
    <w:p w:rsidR="00081643" w:rsidRDefault="00081643" w:rsidP="00081643">
      <w:pPr>
        <w:jc w:val="both"/>
        <w:rPr>
          <w:rFonts w:ascii="Arial" w:hAnsi="Arial" w:cs="Arial"/>
          <w:sz w:val="20"/>
        </w:rPr>
      </w:pPr>
      <w:r w:rsidRPr="00517360">
        <w:rPr>
          <w:rFonts w:ascii="Arial" w:hAnsi="Arial" w:cs="Arial"/>
          <w:sz w:val="20"/>
        </w:rPr>
        <w:t>Cílem fondu je držet tyto dluhopisy až do splatnosti. Nicméně investiční tým na denní bázi monitoruje možná rizika a v případě změny výhledu na některý titul i aktivně zajišťuje, případně nahrazuje určitou pozici v portfoliu fondu. Výhodou tohoto přístupu je relativně přesný odhad budoucího výnosu pro klienta.</w:t>
      </w:r>
    </w:p>
    <w:p w:rsidR="00081643" w:rsidRPr="00081643" w:rsidRDefault="00081643" w:rsidP="00081643">
      <w:pPr>
        <w:jc w:val="both"/>
        <w:rPr>
          <w:rFonts w:ascii="Arial" w:eastAsiaTheme="minorHAnsi" w:hAnsi="Arial" w:cs="Arial"/>
          <w:b/>
          <w:sz w:val="18"/>
          <w:szCs w:val="18"/>
          <w:lang w:eastAsia="en-US"/>
        </w:rPr>
      </w:pPr>
      <w:r w:rsidRPr="00081643">
        <w:rPr>
          <w:rFonts w:ascii="Arial" w:eastAsiaTheme="minorHAnsi" w:hAnsi="Arial" w:cs="Arial"/>
          <w:b/>
          <w:sz w:val="18"/>
          <w:szCs w:val="18"/>
          <w:lang w:eastAsia="en-US"/>
        </w:rPr>
        <w:lastRenderedPageBreak/>
        <w:t>Upozornění:</w:t>
      </w:r>
    </w:p>
    <w:p w:rsidR="00081643" w:rsidRPr="00081643" w:rsidRDefault="00081643" w:rsidP="00081643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081643">
        <w:rPr>
          <w:rFonts w:ascii="Arial" w:eastAsiaTheme="minorHAnsi" w:hAnsi="Arial" w:cs="Arial"/>
          <w:sz w:val="18"/>
          <w:szCs w:val="18"/>
          <w:lang w:eastAsia="en-US"/>
        </w:rPr>
        <w:t xml:space="preserve">Uvedené informace nepředstavují nabídku, poradenství, investiční doporučení ani analýzu investičních příležitostí ze strany kterékoli společnosti ze skupiny </w:t>
      </w:r>
      <w:proofErr w:type="spellStart"/>
      <w:r w:rsidRPr="00081643">
        <w:rPr>
          <w:rFonts w:ascii="Arial" w:eastAsiaTheme="minorHAnsi" w:hAnsi="Arial" w:cs="Arial"/>
          <w:sz w:val="18"/>
          <w:szCs w:val="18"/>
          <w:lang w:eastAsia="en-US"/>
        </w:rPr>
        <w:t>Amundi</w:t>
      </w:r>
      <w:proofErr w:type="spellEnd"/>
      <w:r w:rsidRPr="00081643">
        <w:rPr>
          <w:rFonts w:ascii="Arial" w:eastAsiaTheme="minorHAnsi" w:hAnsi="Arial" w:cs="Arial"/>
          <w:sz w:val="18"/>
          <w:szCs w:val="18"/>
          <w:lang w:eastAsia="en-US"/>
        </w:rPr>
        <w:t xml:space="preserve">. Předchozí ani očekávaná budoucí výkonnost nezaručuje skutečnou výkonnost v budoucím období. Před investicí by klient měl provést vlastní analýzu rizik z hlediska právních, daňových a účetních konsekvencí, aniž by se výlučně spoléhali na informace v tomto dokumentu. Hodnota investice a příjem z ní, může stoupat i klesat a nejsou zaručeny jak návratnost investované částky, tak ani případné vyplacení dividendy. U dividendových tříd rozhodne nebo nerozhodne o vyplacení dividendy za příslušné období představenstvo, a to s přihlédnutím k výsledkům hospodaření fondu. Výnos u </w:t>
      </w:r>
      <w:proofErr w:type="spellStart"/>
      <w:r w:rsidRPr="00081643">
        <w:rPr>
          <w:rFonts w:ascii="Arial" w:eastAsiaTheme="minorHAnsi" w:hAnsi="Arial" w:cs="Arial"/>
          <w:sz w:val="18"/>
          <w:szCs w:val="18"/>
          <w:lang w:eastAsia="en-US"/>
        </w:rPr>
        <w:t>cizoměnových</w:t>
      </w:r>
      <w:proofErr w:type="spellEnd"/>
      <w:r w:rsidRPr="00081643">
        <w:rPr>
          <w:rFonts w:ascii="Arial" w:eastAsiaTheme="minorHAnsi" w:hAnsi="Arial" w:cs="Arial"/>
          <w:sz w:val="18"/>
          <w:szCs w:val="18"/>
          <w:lang w:eastAsia="en-US"/>
        </w:rPr>
        <w:t xml:space="preserve"> investičních nástrojů může kolísat v důsledku výkyvů měnového kurzu. Zdanění závisí vždy na osobních poměrech zákazníka a může se měnit. Úplné názvy podílových fondů, detailní přehled výkonnosti, informace o rizicích, včetně rizik vyplývajících ze zaměření na </w:t>
      </w:r>
      <w:proofErr w:type="spellStart"/>
      <w:r w:rsidRPr="00081643">
        <w:rPr>
          <w:rFonts w:ascii="Arial" w:eastAsiaTheme="minorHAnsi" w:hAnsi="Arial" w:cs="Arial"/>
          <w:sz w:val="18"/>
          <w:szCs w:val="18"/>
          <w:lang w:eastAsia="en-US"/>
        </w:rPr>
        <w:t>private</w:t>
      </w:r>
      <w:proofErr w:type="spellEnd"/>
      <w:r w:rsidRPr="00081643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proofErr w:type="spellStart"/>
      <w:r w:rsidRPr="00081643">
        <w:rPr>
          <w:rFonts w:ascii="Arial" w:eastAsiaTheme="minorHAnsi" w:hAnsi="Arial" w:cs="Arial"/>
          <w:sz w:val="18"/>
          <w:szCs w:val="18"/>
          <w:lang w:eastAsia="en-US"/>
        </w:rPr>
        <w:t>equity</w:t>
      </w:r>
      <w:proofErr w:type="spellEnd"/>
      <w:r w:rsidRPr="00081643">
        <w:rPr>
          <w:rFonts w:ascii="Arial" w:eastAsiaTheme="minorHAnsi" w:hAnsi="Arial" w:cs="Arial"/>
          <w:sz w:val="18"/>
          <w:szCs w:val="18"/>
          <w:lang w:eastAsia="en-US"/>
        </w:rPr>
        <w:t xml:space="preserve"> investice, a další informace jsou zveřejněny v českém (</w:t>
      </w:r>
      <w:proofErr w:type="spellStart"/>
      <w:r w:rsidRPr="00081643">
        <w:rPr>
          <w:rFonts w:ascii="Arial" w:eastAsiaTheme="minorHAnsi" w:hAnsi="Arial" w:cs="Arial"/>
          <w:sz w:val="18"/>
          <w:szCs w:val="18"/>
          <w:lang w:eastAsia="en-US"/>
        </w:rPr>
        <w:t>Amundi</w:t>
      </w:r>
      <w:proofErr w:type="spellEnd"/>
      <w:r w:rsidRPr="00081643">
        <w:rPr>
          <w:rFonts w:ascii="Arial" w:eastAsiaTheme="minorHAnsi" w:hAnsi="Arial" w:cs="Arial"/>
          <w:sz w:val="18"/>
          <w:szCs w:val="18"/>
          <w:lang w:eastAsia="en-US"/>
        </w:rPr>
        <w:t xml:space="preserve"> CR) nebo anglickém jazyce (</w:t>
      </w:r>
      <w:proofErr w:type="spellStart"/>
      <w:r w:rsidRPr="00081643">
        <w:rPr>
          <w:rFonts w:ascii="Arial" w:eastAsiaTheme="minorHAnsi" w:hAnsi="Arial" w:cs="Arial"/>
          <w:sz w:val="18"/>
          <w:szCs w:val="18"/>
          <w:lang w:eastAsia="en-US"/>
        </w:rPr>
        <w:t>Amundi</w:t>
      </w:r>
      <w:proofErr w:type="spellEnd"/>
      <w:r w:rsidRPr="00081643">
        <w:rPr>
          <w:rFonts w:ascii="Arial" w:eastAsiaTheme="minorHAnsi" w:hAnsi="Arial" w:cs="Arial"/>
          <w:sz w:val="18"/>
          <w:szCs w:val="18"/>
          <w:lang w:eastAsia="en-US"/>
        </w:rPr>
        <w:t xml:space="preserve"> AM) na </w:t>
      </w:r>
      <w:hyperlink r:id="rId9" w:history="1">
        <w:r w:rsidRPr="00081643">
          <w:rPr>
            <w:rFonts w:ascii="Arial" w:eastAsiaTheme="minorHAnsi" w:hAnsi="Arial" w:cs="Arial"/>
            <w:sz w:val="18"/>
            <w:szCs w:val="18"/>
            <w:lang w:eastAsia="en-US"/>
          </w:rPr>
          <w:t>www.amundi-kb.cz</w:t>
        </w:r>
      </w:hyperlink>
      <w:r w:rsidRPr="00081643">
        <w:rPr>
          <w:rFonts w:ascii="Arial" w:eastAsiaTheme="minorHAnsi" w:hAnsi="Arial" w:cs="Arial"/>
          <w:sz w:val="18"/>
          <w:szCs w:val="18"/>
          <w:lang w:eastAsia="en-US"/>
        </w:rPr>
        <w:t xml:space="preserve">, </w:t>
      </w:r>
      <w:hyperlink r:id="rId10" w:history="1">
        <w:r w:rsidRPr="00081643">
          <w:rPr>
            <w:rFonts w:ascii="Arial" w:eastAsiaTheme="minorHAnsi" w:hAnsi="Arial" w:cs="Arial"/>
            <w:sz w:val="18"/>
            <w:szCs w:val="18"/>
            <w:lang w:eastAsia="en-US"/>
          </w:rPr>
          <w:t>www.amundi.cz</w:t>
        </w:r>
      </w:hyperlink>
      <w:r w:rsidRPr="00081643">
        <w:rPr>
          <w:rFonts w:ascii="Arial" w:eastAsiaTheme="minorHAnsi" w:hAnsi="Arial" w:cs="Arial"/>
          <w:sz w:val="18"/>
          <w:szCs w:val="18"/>
          <w:lang w:eastAsia="en-US"/>
        </w:rPr>
        <w:t xml:space="preserve"> ve statutech fondů, sděleních klíčových informací, nebo prospektech fondů. Bližší informace získáte na </w:t>
      </w:r>
      <w:hyperlink r:id="rId11" w:history="1">
        <w:r w:rsidRPr="00081643">
          <w:rPr>
            <w:rFonts w:ascii="Arial" w:eastAsiaTheme="minorHAnsi" w:hAnsi="Arial" w:cs="Arial"/>
            <w:sz w:val="18"/>
            <w:szCs w:val="18"/>
            <w:lang w:eastAsia="en-US"/>
          </w:rPr>
          <w:t>infocr@amundi.com</w:t>
        </w:r>
      </w:hyperlink>
      <w:r w:rsidRPr="00081643">
        <w:rPr>
          <w:rFonts w:ascii="Arial" w:eastAsiaTheme="minorHAnsi" w:hAnsi="Arial" w:cs="Arial"/>
          <w:sz w:val="18"/>
          <w:szCs w:val="18"/>
          <w:lang w:eastAsia="en-US"/>
        </w:rPr>
        <w:t xml:space="preserve"> nebo </w:t>
      </w:r>
      <w:hyperlink r:id="rId12" w:history="1">
        <w:r w:rsidRPr="00081643">
          <w:rPr>
            <w:rFonts w:ascii="Arial" w:eastAsiaTheme="minorHAnsi" w:hAnsi="Arial" w:cs="Arial"/>
            <w:sz w:val="18"/>
            <w:szCs w:val="18"/>
            <w:lang w:eastAsia="en-US"/>
          </w:rPr>
          <w:t>www.amundi-kb.cz</w:t>
        </w:r>
      </w:hyperlink>
      <w:r w:rsidRPr="00081643">
        <w:rPr>
          <w:rFonts w:ascii="Arial" w:eastAsiaTheme="minorHAnsi" w:hAnsi="Arial" w:cs="Arial"/>
          <w:sz w:val="18"/>
          <w:szCs w:val="18"/>
          <w:lang w:eastAsia="en-US"/>
        </w:rPr>
        <w:t xml:space="preserve">, </w:t>
      </w:r>
      <w:hyperlink r:id="rId13" w:history="1">
        <w:r w:rsidRPr="00081643">
          <w:rPr>
            <w:rFonts w:ascii="Arial" w:eastAsiaTheme="minorHAnsi" w:hAnsi="Arial" w:cs="Arial"/>
            <w:sz w:val="18"/>
            <w:szCs w:val="18"/>
            <w:lang w:eastAsia="en-US"/>
          </w:rPr>
          <w:t>www.amundi.cz</w:t>
        </w:r>
      </w:hyperlink>
      <w:r w:rsidRPr="00081643">
        <w:rPr>
          <w:rFonts w:ascii="Arial" w:eastAsiaTheme="minorHAnsi" w:hAnsi="Arial" w:cs="Arial"/>
          <w:sz w:val="18"/>
          <w:szCs w:val="18"/>
          <w:lang w:eastAsia="en-US"/>
        </w:rPr>
        <w:t xml:space="preserve">. Uvedené informace reflektují názor </w:t>
      </w:r>
      <w:proofErr w:type="spellStart"/>
      <w:r w:rsidRPr="00081643">
        <w:rPr>
          <w:rFonts w:ascii="Arial" w:eastAsiaTheme="minorHAnsi" w:hAnsi="Arial" w:cs="Arial"/>
          <w:sz w:val="18"/>
          <w:szCs w:val="18"/>
          <w:lang w:eastAsia="en-US"/>
        </w:rPr>
        <w:t>Amundi</w:t>
      </w:r>
      <w:proofErr w:type="spellEnd"/>
      <w:r w:rsidRPr="00081643">
        <w:rPr>
          <w:rFonts w:ascii="Arial" w:eastAsiaTheme="minorHAnsi" w:hAnsi="Arial" w:cs="Arial"/>
          <w:sz w:val="18"/>
          <w:szCs w:val="18"/>
          <w:lang w:eastAsia="en-US"/>
        </w:rPr>
        <w:t xml:space="preserve">, jsou považovány za spolehlivé, nicméně není garantována jejich úplnost, přesnost nebo platnost. Žádná ze společností ze skupiny </w:t>
      </w:r>
      <w:proofErr w:type="spellStart"/>
      <w:r w:rsidRPr="00081643">
        <w:rPr>
          <w:rFonts w:ascii="Arial" w:eastAsiaTheme="minorHAnsi" w:hAnsi="Arial" w:cs="Arial"/>
          <w:sz w:val="18"/>
          <w:szCs w:val="18"/>
          <w:lang w:eastAsia="en-US"/>
        </w:rPr>
        <w:t>Amundi</w:t>
      </w:r>
      <w:proofErr w:type="spellEnd"/>
      <w:r w:rsidRPr="00081643">
        <w:rPr>
          <w:rFonts w:ascii="Arial" w:eastAsiaTheme="minorHAnsi" w:hAnsi="Arial" w:cs="Arial"/>
          <w:sz w:val="18"/>
          <w:szCs w:val="18"/>
          <w:lang w:eastAsia="en-US"/>
        </w:rPr>
        <w:t xml:space="preserve"> nepřijímají žádnou přímou ani nepřímou odpovědnost, která by mohla vzniknout v důsledku použití informací uvedených v tomto materiálu. Uvedené společnosti není možné volat jakýmkoli způsobem k odpovědnosti za jakékoli rozhodnutí nebo za jakoukoli investici učiněnou na základě informací uvedených v tomto materiálu. Informace uvedené v tomto materiálu nebudou kopírovány, reprodukovány, upravovány, překládány nebo rozšiřovány mezi třetí osoby bez předchozího písemného souhlasu ani mezi subjekty v jakékoli zemi nebo jurisdikci, které by vyžadovaly registraci kterékoli společnosti ze skupiny </w:t>
      </w:r>
      <w:proofErr w:type="spellStart"/>
      <w:r w:rsidRPr="00081643">
        <w:rPr>
          <w:rFonts w:ascii="Arial" w:eastAsiaTheme="minorHAnsi" w:hAnsi="Arial" w:cs="Arial"/>
          <w:sz w:val="18"/>
          <w:szCs w:val="18"/>
          <w:lang w:eastAsia="en-US"/>
        </w:rPr>
        <w:t>Amundi</w:t>
      </w:r>
      <w:proofErr w:type="spellEnd"/>
      <w:r w:rsidRPr="00081643">
        <w:rPr>
          <w:rFonts w:ascii="Arial" w:eastAsiaTheme="minorHAnsi" w:hAnsi="Arial" w:cs="Arial"/>
          <w:sz w:val="18"/>
          <w:szCs w:val="18"/>
          <w:lang w:eastAsia="en-US"/>
        </w:rPr>
        <w:t xml:space="preserve"> nebo jejich produktů v této jurisdikci, nebo ve kterých by mohla být považována za nezákonnou. Tyto materiály nebyly schváleny regulátorem finančního trhu. Tyto materiály nejsou určeny americkým osobám a nejsou zamýšleny pro seznámení nebo použití jakoukoli osobou, ať již se jedná o kvalifikovaného investora, či nikoli, z jakékoli země nebo jurisdikce, jejichž zákony nebo předpisy by takovéto sdělení nebo použití zakazovaly. </w:t>
      </w:r>
    </w:p>
    <w:p w:rsidR="00081643" w:rsidRPr="00517360" w:rsidRDefault="00081643" w:rsidP="00081643">
      <w:pPr>
        <w:jc w:val="both"/>
        <w:rPr>
          <w:rFonts w:ascii="Arial" w:hAnsi="Arial" w:cs="Arial"/>
          <w:sz w:val="20"/>
        </w:rPr>
      </w:pPr>
    </w:p>
    <w:p w:rsidR="003D491E" w:rsidRPr="00186EE3" w:rsidRDefault="003D491E" w:rsidP="00CF7959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F836F1" w:rsidRPr="00E56953" w:rsidRDefault="00F836F1" w:rsidP="00F836F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4F0B15" w:rsidRDefault="004F0B15">
      <w:pPr>
        <w:rPr>
          <w:rFonts w:ascii="Arial" w:eastAsiaTheme="minorHAnsi" w:hAnsi="Arial" w:cs="Arial"/>
          <w:b/>
          <w:sz w:val="18"/>
          <w:szCs w:val="18"/>
          <w:lang w:eastAsia="en-US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4F0B15" w:rsidRPr="00CF7959" w:rsidRDefault="004F0B15" w:rsidP="004F0B15">
      <w:pPr>
        <w:pStyle w:val="Zkladntext"/>
        <w:outlineLvl w:val="0"/>
        <w:rPr>
          <w:rFonts w:ascii="Arial" w:hAnsi="Arial" w:cs="Arial"/>
          <w:b/>
          <w:sz w:val="18"/>
          <w:szCs w:val="18"/>
        </w:rPr>
      </w:pPr>
      <w:r w:rsidRPr="00CF7959">
        <w:rPr>
          <w:rFonts w:ascii="Arial" w:hAnsi="Arial" w:cs="Arial"/>
          <w:b/>
          <w:sz w:val="18"/>
          <w:szCs w:val="18"/>
        </w:rPr>
        <w:lastRenderedPageBreak/>
        <w:t>O skupině Amundi</w:t>
      </w:r>
    </w:p>
    <w:p w:rsidR="004F0B15" w:rsidRPr="00CF7959" w:rsidRDefault="004F0B15" w:rsidP="004F0B15">
      <w:pPr>
        <w:pStyle w:val="Zkladntext"/>
        <w:spacing w:after="200"/>
        <w:jc w:val="both"/>
        <w:rPr>
          <w:rFonts w:ascii="Arial" w:hAnsi="Arial" w:cs="Arial"/>
          <w:sz w:val="18"/>
          <w:szCs w:val="18"/>
        </w:rPr>
      </w:pPr>
      <w:r w:rsidRPr="00CF7959">
        <w:rPr>
          <w:rFonts w:ascii="Arial" w:hAnsi="Arial" w:cs="Arial"/>
          <w:sz w:val="18"/>
          <w:szCs w:val="18"/>
        </w:rPr>
        <w:t>Skupina Amundi je největším správcem investic v Evropě, pokud jde o výši spravovaného majetku, a řadí se do TOP 10</w:t>
      </w:r>
      <w:r w:rsidR="0001710A" w:rsidRPr="0001710A">
        <w:rPr>
          <w:rFonts w:ascii="Arial" w:hAnsi="Arial" w:cs="Arial"/>
          <w:sz w:val="18"/>
          <w:szCs w:val="18"/>
          <w:vertAlign w:val="superscript"/>
        </w:rPr>
        <w:t>1</w:t>
      </w:r>
      <w:r w:rsidRPr="00CF7959">
        <w:rPr>
          <w:rFonts w:ascii="Arial" w:hAnsi="Arial" w:cs="Arial"/>
          <w:sz w:val="18"/>
          <w:szCs w:val="18"/>
        </w:rPr>
        <w:t xml:space="preserve"> z celosvětového hlediska. Díky spojení s Pioneer </w:t>
      </w:r>
      <w:proofErr w:type="spellStart"/>
      <w:r w:rsidRPr="00CF7959">
        <w:rPr>
          <w:rFonts w:ascii="Arial" w:hAnsi="Arial" w:cs="Arial"/>
          <w:sz w:val="18"/>
          <w:szCs w:val="18"/>
        </w:rPr>
        <w:t>Investments</w:t>
      </w:r>
      <w:proofErr w:type="spellEnd"/>
      <w:r w:rsidRPr="00CF7959">
        <w:rPr>
          <w:rFonts w:ascii="Arial" w:hAnsi="Arial" w:cs="Arial"/>
          <w:sz w:val="18"/>
          <w:szCs w:val="18"/>
        </w:rPr>
        <w:t xml:space="preserve"> spravuje pro své klienty aktiva v hodnotě 1,4</w:t>
      </w:r>
      <w:r w:rsidR="00B66523">
        <w:rPr>
          <w:rFonts w:ascii="Arial" w:hAnsi="Arial" w:cs="Arial"/>
          <w:sz w:val="18"/>
          <w:szCs w:val="18"/>
        </w:rPr>
        <w:t>76</w:t>
      </w:r>
      <w:r w:rsidRPr="00CF7959">
        <w:rPr>
          <w:rFonts w:ascii="Arial" w:hAnsi="Arial" w:cs="Arial"/>
          <w:sz w:val="18"/>
          <w:szCs w:val="18"/>
        </w:rPr>
        <w:t> bilionu</w:t>
      </w:r>
      <w:r w:rsidR="0001710A" w:rsidRPr="0001710A">
        <w:rPr>
          <w:rFonts w:ascii="Arial" w:hAnsi="Arial" w:cs="Arial"/>
          <w:sz w:val="18"/>
          <w:szCs w:val="18"/>
          <w:vertAlign w:val="superscript"/>
        </w:rPr>
        <w:t>2</w:t>
      </w:r>
      <w:r w:rsidR="00166313">
        <w:rPr>
          <w:rFonts w:ascii="Arial" w:hAnsi="Arial" w:cs="Arial"/>
          <w:sz w:val="18"/>
          <w:szCs w:val="18"/>
        </w:rPr>
        <w:t xml:space="preserve"> eur. Prostřednictvím šesti</w:t>
      </w:r>
      <w:r w:rsidRPr="00CF7959">
        <w:rPr>
          <w:rFonts w:ascii="Arial" w:hAnsi="Arial" w:cs="Arial"/>
          <w:sz w:val="18"/>
          <w:szCs w:val="18"/>
        </w:rPr>
        <w:t xml:space="preserve"> hlavních investičních center</w:t>
      </w:r>
      <w:r w:rsidR="0001710A">
        <w:rPr>
          <w:rFonts w:ascii="Arial" w:hAnsi="Arial" w:cs="Arial"/>
          <w:sz w:val="18"/>
          <w:szCs w:val="18"/>
          <w:vertAlign w:val="superscript"/>
        </w:rPr>
        <w:t>3</w:t>
      </w:r>
      <w:r w:rsidRPr="00CF7959">
        <w:rPr>
          <w:rFonts w:ascii="Arial" w:hAnsi="Arial" w:cs="Arial"/>
          <w:sz w:val="18"/>
          <w:szCs w:val="18"/>
        </w:rPr>
        <w:t xml:space="preserve"> nabízí svým klientům v Evropě, v oblasti Asie a Tichomoří, na Středním východě a v Severní i Jižní Americe bohaté zkušenosti s finančními trhy a široký rozsah odborných znalostí pro aktivní i pasivní investiční řešení a reálná aktiva. Amundi s centrálou v Paříži je od listopadu 2015 listována na burze a je prvním správcem aktiv v Evropě, co se týče tržní kapitalizace</w:t>
      </w:r>
      <w:r w:rsidR="0001710A" w:rsidRPr="0001710A">
        <w:rPr>
          <w:rFonts w:ascii="Arial" w:hAnsi="Arial" w:cs="Arial"/>
          <w:sz w:val="18"/>
          <w:szCs w:val="18"/>
          <w:vertAlign w:val="superscript"/>
        </w:rPr>
        <w:t>4</w:t>
      </w:r>
      <w:r w:rsidRPr="00CF7959">
        <w:rPr>
          <w:rFonts w:ascii="Arial" w:hAnsi="Arial" w:cs="Arial"/>
          <w:sz w:val="18"/>
          <w:szCs w:val="18"/>
        </w:rPr>
        <w:t xml:space="preserve">. </w:t>
      </w:r>
    </w:p>
    <w:p w:rsidR="004F0B15" w:rsidRDefault="004F0B15" w:rsidP="004F0B15">
      <w:pPr>
        <w:pStyle w:val="Zkladntext"/>
        <w:jc w:val="both"/>
        <w:rPr>
          <w:rFonts w:ascii="Arial" w:hAnsi="Arial" w:cs="Arial"/>
          <w:sz w:val="18"/>
          <w:szCs w:val="18"/>
        </w:rPr>
      </w:pPr>
      <w:r w:rsidRPr="00CF7959">
        <w:rPr>
          <w:rFonts w:ascii="Arial" w:hAnsi="Arial" w:cs="Arial"/>
          <w:sz w:val="18"/>
          <w:szCs w:val="18"/>
        </w:rPr>
        <w:t xml:space="preserve">Díky využití výhod vyplývajících z narůstajícího rozsahu a velikosti má Amundi možnost nabízet svým klientům nové a pokročilé služby a nástroje. Díky svým jedinečným schopnostem v oblasti výzkumu, dovednostem takřka 4500 členů týmu a díky odborníkům na trhy v 37 zemích poskytuje </w:t>
      </w:r>
      <w:proofErr w:type="spellStart"/>
      <w:r w:rsidRPr="00CF7959">
        <w:rPr>
          <w:rFonts w:ascii="Arial" w:hAnsi="Arial" w:cs="Arial"/>
          <w:sz w:val="18"/>
          <w:szCs w:val="18"/>
        </w:rPr>
        <w:t>retailovým</w:t>
      </w:r>
      <w:proofErr w:type="spellEnd"/>
      <w:r w:rsidRPr="00CF7959">
        <w:rPr>
          <w:rFonts w:ascii="Arial" w:hAnsi="Arial" w:cs="Arial"/>
          <w:sz w:val="18"/>
          <w:szCs w:val="18"/>
        </w:rPr>
        <w:t>, institucionálním a firemním klientům inovativní investiční strategie a řešení přizpůsobená jejich potřeb</w:t>
      </w:r>
      <w:r>
        <w:rPr>
          <w:rFonts w:ascii="Arial" w:hAnsi="Arial" w:cs="Arial"/>
          <w:sz w:val="18"/>
          <w:szCs w:val="18"/>
        </w:rPr>
        <w:t>ám, cílům a rizikovým profilům.</w:t>
      </w:r>
    </w:p>
    <w:p w:rsidR="004F0B15" w:rsidRPr="00CF7959" w:rsidRDefault="004F0B15" w:rsidP="004F0B15">
      <w:pPr>
        <w:pStyle w:val="Zkladntext"/>
        <w:jc w:val="both"/>
        <w:rPr>
          <w:rFonts w:ascii="Arial" w:hAnsi="Arial" w:cs="Arial"/>
          <w:sz w:val="18"/>
          <w:szCs w:val="18"/>
        </w:rPr>
      </w:pPr>
      <w:r w:rsidRPr="00CF7959">
        <w:rPr>
          <w:rFonts w:ascii="Arial" w:hAnsi="Arial" w:cs="Arial"/>
          <w:sz w:val="18"/>
          <w:szCs w:val="18"/>
        </w:rPr>
        <w:t xml:space="preserve">Ze 14. ročníku ceny </w:t>
      </w:r>
      <w:proofErr w:type="spellStart"/>
      <w:r w:rsidRPr="00CF7959">
        <w:rPr>
          <w:rFonts w:ascii="Arial" w:hAnsi="Arial" w:cs="Arial"/>
          <w:sz w:val="18"/>
          <w:szCs w:val="18"/>
        </w:rPr>
        <w:t>Funds</w:t>
      </w:r>
      <w:proofErr w:type="spellEnd"/>
      <w:r w:rsidRPr="00CF795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7959">
        <w:rPr>
          <w:rFonts w:ascii="Arial" w:hAnsi="Arial" w:cs="Arial"/>
          <w:sz w:val="18"/>
          <w:szCs w:val="18"/>
        </w:rPr>
        <w:t>Europe</w:t>
      </w:r>
      <w:proofErr w:type="spellEnd"/>
      <w:r w:rsidRPr="00CF795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7959">
        <w:rPr>
          <w:rFonts w:ascii="Arial" w:hAnsi="Arial" w:cs="Arial"/>
          <w:sz w:val="18"/>
          <w:szCs w:val="18"/>
        </w:rPr>
        <w:t>Awards</w:t>
      </w:r>
      <w:proofErr w:type="spellEnd"/>
      <w:r w:rsidRPr="00CF7959">
        <w:rPr>
          <w:rFonts w:ascii="Arial" w:hAnsi="Arial" w:cs="Arial"/>
          <w:sz w:val="18"/>
          <w:szCs w:val="18"/>
        </w:rPr>
        <w:t xml:space="preserve"> si společnost Amundi odnesla celkem tři významné ceny. Ocenění získali </w:t>
      </w:r>
      <w:proofErr w:type="spellStart"/>
      <w:r w:rsidRPr="00CF7959">
        <w:rPr>
          <w:rFonts w:ascii="Arial" w:hAnsi="Arial" w:cs="Arial"/>
          <w:sz w:val="18"/>
          <w:szCs w:val="18"/>
        </w:rPr>
        <w:t>Yves</w:t>
      </w:r>
      <w:proofErr w:type="spellEnd"/>
      <w:r w:rsidRPr="00CF795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7959">
        <w:rPr>
          <w:rFonts w:ascii="Arial" w:hAnsi="Arial" w:cs="Arial"/>
          <w:sz w:val="18"/>
          <w:szCs w:val="18"/>
        </w:rPr>
        <w:t>Perrier</w:t>
      </w:r>
      <w:proofErr w:type="spellEnd"/>
      <w:r w:rsidRPr="00CF7959">
        <w:rPr>
          <w:rFonts w:ascii="Arial" w:hAnsi="Arial" w:cs="Arial"/>
          <w:sz w:val="18"/>
          <w:szCs w:val="18"/>
        </w:rPr>
        <w:t xml:space="preserve">, Pascal </w:t>
      </w:r>
      <w:proofErr w:type="spellStart"/>
      <w:r w:rsidRPr="00CF7959">
        <w:rPr>
          <w:rFonts w:ascii="Arial" w:hAnsi="Arial" w:cs="Arial"/>
          <w:sz w:val="18"/>
          <w:szCs w:val="18"/>
        </w:rPr>
        <w:t>Blanqué</w:t>
      </w:r>
      <w:proofErr w:type="spellEnd"/>
      <w:r w:rsidRPr="00CF7959">
        <w:rPr>
          <w:rFonts w:ascii="Arial" w:hAnsi="Arial" w:cs="Arial"/>
          <w:sz w:val="18"/>
          <w:szCs w:val="18"/>
        </w:rPr>
        <w:t xml:space="preserve"> a fondy Amundi ETF.</w:t>
      </w:r>
      <w:r>
        <w:rPr>
          <w:rFonts w:ascii="Arial" w:hAnsi="Arial" w:cs="Arial"/>
          <w:sz w:val="18"/>
          <w:szCs w:val="18"/>
        </w:rPr>
        <w:t xml:space="preserve"> Fond </w:t>
      </w:r>
      <w:proofErr w:type="spellStart"/>
      <w:r w:rsidRPr="00D56D01">
        <w:rPr>
          <w:rFonts w:ascii="Arial" w:hAnsi="Arial" w:cs="Arial"/>
          <w:sz w:val="18"/>
          <w:szCs w:val="18"/>
        </w:rPr>
        <w:t>Amundi</w:t>
      </w:r>
      <w:proofErr w:type="spellEnd"/>
      <w:r w:rsidRPr="00D56D0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56D01">
        <w:rPr>
          <w:rFonts w:ascii="Arial" w:hAnsi="Arial" w:cs="Arial"/>
          <w:sz w:val="18"/>
          <w:szCs w:val="18"/>
        </w:rPr>
        <w:t>Funds</w:t>
      </w:r>
      <w:proofErr w:type="spellEnd"/>
      <w:r w:rsidRPr="00D56D01">
        <w:rPr>
          <w:rFonts w:ascii="Arial" w:hAnsi="Arial" w:cs="Arial"/>
          <w:sz w:val="18"/>
          <w:szCs w:val="18"/>
        </w:rPr>
        <w:t xml:space="preserve"> Cash USD – AU</w:t>
      </w:r>
      <w:r>
        <w:rPr>
          <w:rFonts w:ascii="Arial" w:hAnsi="Arial" w:cs="Arial"/>
          <w:sz w:val="18"/>
          <w:szCs w:val="18"/>
        </w:rPr>
        <w:t xml:space="preserve"> zvítězil v kategorii krátkodobých investic v české anketě Finanční produkty roku 2018 webu Finparáda.cz. Ve slovenském hodnocení </w:t>
      </w:r>
      <w:proofErr w:type="spellStart"/>
      <w:r>
        <w:rPr>
          <w:rFonts w:ascii="Arial" w:hAnsi="Arial" w:cs="Arial"/>
          <w:sz w:val="18"/>
          <w:szCs w:val="18"/>
        </w:rPr>
        <w:t>Fincentrum</w:t>
      </w:r>
      <w:proofErr w:type="spellEnd"/>
      <w:r>
        <w:rPr>
          <w:rFonts w:ascii="Arial" w:hAnsi="Arial" w:cs="Arial"/>
          <w:sz w:val="18"/>
          <w:szCs w:val="18"/>
        </w:rPr>
        <w:t>&amp;</w:t>
      </w:r>
      <w:proofErr w:type="spellStart"/>
      <w:r>
        <w:rPr>
          <w:rFonts w:ascii="Arial" w:hAnsi="Arial" w:cs="Arial"/>
          <w:sz w:val="18"/>
          <w:szCs w:val="18"/>
        </w:rPr>
        <w:t>Forbes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Investícia</w:t>
      </w:r>
      <w:proofErr w:type="spellEnd"/>
      <w:r>
        <w:rPr>
          <w:rFonts w:ascii="Arial" w:hAnsi="Arial" w:cs="Arial"/>
          <w:sz w:val="18"/>
          <w:szCs w:val="18"/>
        </w:rPr>
        <w:t xml:space="preserve"> roka 2018 zvítězil fond </w:t>
      </w:r>
      <w:proofErr w:type="spellStart"/>
      <w:r w:rsidRPr="00D56D01">
        <w:rPr>
          <w:rFonts w:ascii="Arial" w:hAnsi="Arial" w:cs="Arial"/>
          <w:sz w:val="18"/>
          <w:szCs w:val="18"/>
        </w:rPr>
        <w:t>Amundi</w:t>
      </w:r>
      <w:proofErr w:type="spellEnd"/>
      <w:r w:rsidRPr="00D56D0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56D01">
        <w:rPr>
          <w:rFonts w:ascii="Arial" w:hAnsi="Arial" w:cs="Arial"/>
          <w:sz w:val="18"/>
          <w:szCs w:val="18"/>
        </w:rPr>
        <w:t>Funds</w:t>
      </w:r>
      <w:proofErr w:type="spellEnd"/>
      <w:r w:rsidRPr="00D56D01">
        <w:rPr>
          <w:rFonts w:ascii="Arial" w:hAnsi="Arial" w:cs="Arial"/>
          <w:sz w:val="18"/>
          <w:szCs w:val="18"/>
        </w:rPr>
        <w:t xml:space="preserve"> II – </w:t>
      </w:r>
      <w:proofErr w:type="gramStart"/>
      <w:r w:rsidRPr="00D56D01">
        <w:rPr>
          <w:rFonts w:ascii="Arial" w:hAnsi="Arial" w:cs="Arial"/>
          <w:sz w:val="18"/>
          <w:szCs w:val="18"/>
        </w:rPr>
        <w:t>Pioneer U.S.</w:t>
      </w:r>
      <w:proofErr w:type="gramEnd"/>
      <w:r w:rsidRPr="00D56D01">
        <w:rPr>
          <w:rFonts w:ascii="Arial" w:hAnsi="Arial" w:cs="Arial"/>
          <w:sz w:val="18"/>
          <w:szCs w:val="18"/>
        </w:rPr>
        <w:t xml:space="preserve"> Dollar </w:t>
      </w:r>
      <w:proofErr w:type="spellStart"/>
      <w:r w:rsidRPr="00D56D01">
        <w:rPr>
          <w:rFonts w:ascii="Arial" w:hAnsi="Arial" w:cs="Arial"/>
          <w:sz w:val="18"/>
          <w:szCs w:val="18"/>
        </w:rPr>
        <w:t>Short</w:t>
      </w:r>
      <w:proofErr w:type="spellEnd"/>
      <w:r w:rsidRPr="00D56D01">
        <w:rPr>
          <w:rFonts w:ascii="Arial" w:hAnsi="Arial" w:cs="Arial"/>
          <w:sz w:val="18"/>
          <w:szCs w:val="18"/>
        </w:rPr>
        <w:t>-Term</w:t>
      </w:r>
      <w:r>
        <w:rPr>
          <w:rFonts w:ascii="Arial" w:hAnsi="Arial" w:cs="Arial"/>
          <w:sz w:val="18"/>
          <w:szCs w:val="18"/>
        </w:rPr>
        <w:t xml:space="preserve">, který se tak stal slovenskou investicí roku. </w:t>
      </w:r>
    </w:p>
    <w:p w:rsidR="004F0B15" w:rsidRPr="00CF7959" w:rsidRDefault="004F0B15" w:rsidP="004F0B15">
      <w:pPr>
        <w:pStyle w:val="Zkladntext"/>
        <w:spacing w:after="200"/>
        <w:jc w:val="both"/>
        <w:rPr>
          <w:rFonts w:ascii="Arial" w:hAnsi="Arial" w:cs="Arial"/>
          <w:sz w:val="18"/>
          <w:szCs w:val="18"/>
        </w:rPr>
      </w:pPr>
      <w:r w:rsidRPr="00CF7959">
        <w:rPr>
          <w:rFonts w:ascii="Arial" w:hAnsi="Arial" w:cs="Arial"/>
          <w:sz w:val="18"/>
          <w:szCs w:val="18"/>
        </w:rPr>
        <w:t xml:space="preserve">V České republice Amundi působí prostřednictvím společností </w:t>
      </w:r>
      <w:proofErr w:type="spellStart"/>
      <w:r w:rsidRPr="00CF7959">
        <w:rPr>
          <w:rFonts w:ascii="Arial" w:hAnsi="Arial" w:cs="Arial"/>
          <w:sz w:val="18"/>
          <w:szCs w:val="18"/>
        </w:rPr>
        <w:t>Amundi</w:t>
      </w:r>
      <w:proofErr w:type="spellEnd"/>
      <w:r w:rsidRPr="00CF795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7959">
        <w:rPr>
          <w:rFonts w:ascii="Arial" w:hAnsi="Arial" w:cs="Arial"/>
          <w:sz w:val="18"/>
          <w:szCs w:val="18"/>
        </w:rPr>
        <w:t>Czech</w:t>
      </w:r>
      <w:proofErr w:type="spellEnd"/>
      <w:r w:rsidRPr="00CF795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7959">
        <w:rPr>
          <w:rFonts w:ascii="Arial" w:hAnsi="Arial" w:cs="Arial"/>
          <w:sz w:val="18"/>
          <w:szCs w:val="18"/>
        </w:rPr>
        <w:t>Republic</w:t>
      </w:r>
      <w:proofErr w:type="spellEnd"/>
      <w:r w:rsidRPr="00CF7959">
        <w:rPr>
          <w:rFonts w:ascii="Arial" w:hAnsi="Arial" w:cs="Arial"/>
          <w:sz w:val="18"/>
          <w:szCs w:val="18"/>
        </w:rPr>
        <w:t xml:space="preserve"> investiční společnost, a.s., a </w:t>
      </w:r>
      <w:proofErr w:type="spellStart"/>
      <w:r w:rsidRPr="00CF7959">
        <w:rPr>
          <w:rFonts w:ascii="Arial" w:hAnsi="Arial" w:cs="Arial"/>
          <w:sz w:val="18"/>
          <w:szCs w:val="18"/>
        </w:rPr>
        <w:t>Amundi</w:t>
      </w:r>
      <w:proofErr w:type="spellEnd"/>
      <w:r w:rsidRPr="00CF795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7959">
        <w:rPr>
          <w:rFonts w:ascii="Arial" w:hAnsi="Arial" w:cs="Arial"/>
          <w:sz w:val="18"/>
          <w:szCs w:val="18"/>
        </w:rPr>
        <w:t>Czech</w:t>
      </w:r>
      <w:proofErr w:type="spellEnd"/>
      <w:r w:rsidRPr="00CF795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7959">
        <w:rPr>
          <w:rFonts w:ascii="Arial" w:hAnsi="Arial" w:cs="Arial"/>
          <w:sz w:val="18"/>
          <w:szCs w:val="18"/>
        </w:rPr>
        <w:t>Republic</w:t>
      </w:r>
      <w:proofErr w:type="spellEnd"/>
      <w:r w:rsidRPr="00CF795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7959">
        <w:rPr>
          <w:rFonts w:ascii="Arial" w:hAnsi="Arial" w:cs="Arial"/>
          <w:sz w:val="18"/>
          <w:szCs w:val="18"/>
        </w:rPr>
        <w:t>Asset</w:t>
      </w:r>
      <w:proofErr w:type="spellEnd"/>
      <w:r w:rsidRPr="00CF7959">
        <w:rPr>
          <w:rFonts w:ascii="Arial" w:hAnsi="Arial" w:cs="Arial"/>
          <w:sz w:val="18"/>
          <w:szCs w:val="18"/>
        </w:rPr>
        <w:t xml:space="preserve"> Management, a.s. Spravuje aktiva jak individuálním, tak institucionálním klientům a nadacím. Své produkty poskytuje přes distribuční kanály Komerční banky, </w:t>
      </w:r>
      <w:proofErr w:type="spellStart"/>
      <w:r w:rsidRPr="00CF7959">
        <w:rPr>
          <w:rFonts w:ascii="Arial" w:hAnsi="Arial" w:cs="Arial"/>
          <w:sz w:val="18"/>
          <w:szCs w:val="18"/>
        </w:rPr>
        <w:t>UniCredit</w:t>
      </w:r>
      <w:proofErr w:type="spellEnd"/>
      <w:r w:rsidRPr="00CF7959">
        <w:rPr>
          <w:rFonts w:ascii="Arial" w:hAnsi="Arial" w:cs="Arial"/>
          <w:sz w:val="18"/>
          <w:szCs w:val="18"/>
        </w:rPr>
        <w:t xml:space="preserve"> Bank a společnosti nezávislých finančních zprostředkovatelů.  </w:t>
      </w:r>
    </w:p>
    <w:p w:rsidR="004F0B15" w:rsidRPr="00CF7959" w:rsidRDefault="004F0B15" w:rsidP="004F0B15">
      <w:pPr>
        <w:pStyle w:val="Zkladntext"/>
        <w:jc w:val="both"/>
        <w:rPr>
          <w:rFonts w:ascii="Arial" w:hAnsi="Arial" w:cs="Arial"/>
          <w:sz w:val="18"/>
          <w:szCs w:val="18"/>
        </w:rPr>
      </w:pPr>
      <w:r w:rsidRPr="00CF7959">
        <w:rPr>
          <w:rFonts w:ascii="Arial" w:hAnsi="Arial" w:cs="Arial"/>
          <w:sz w:val="18"/>
          <w:szCs w:val="18"/>
        </w:rPr>
        <w:t xml:space="preserve">Skupina </w:t>
      </w:r>
      <w:proofErr w:type="spellStart"/>
      <w:r w:rsidRPr="00CF7959">
        <w:rPr>
          <w:rFonts w:ascii="Arial" w:hAnsi="Arial" w:cs="Arial"/>
          <w:sz w:val="18"/>
          <w:szCs w:val="18"/>
        </w:rPr>
        <w:t>Amundi</w:t>
      </w:r>
      <w:proofErr w:type="spellEnd"/>
      <w:r w:rsidRPr="00CF795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7959">
        <w:rPr>
          <w:rFonts w:ascii="Arial" w:hAnsi="Arial" w:cs="Arial"/>
          <w:sz w:val="18"/>
          <w:szCs w:val="18"/>
        </w:rPr>
        <w:t>Czech</w:t>
      </w:r>
      <w:proofErr w:type="spellEnd"/>
      <w:r w:rsidRPr="00CF795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7959">
        <w:rPr>
          <w:rFonts w:ascii="Arial" w:hAnsi="Arial" w:cs="Arial"/>
          <w:sz w:val="18"/>
          <w:szCs w:val="18"/>
        </w:rPr>
        <w:t>Republic</w:t>
      </w:r>
      <w:proofErr w:type="spellEnd"/>
      <w:r w:rsidRPr="00CF7959">
        <w:rPr>
          <w:rFonts w:ascii="Arial" w:hAnsi="Arial" w:cs="Arial"/>
          <w:sz w:val="18"/>
          <w:szCs w:val="18"/>
        </w:rPr>
        <w:t xml:space="preserve"> je zodpovědná za řízení aktivit na Slovensku a v Bulharsku. </w:t>
      </w:r>
    </w:p>
    <w:p w:rsidR="004F0B15" w:rsidRPr="00CF7959" w:rsidRDefault="004F0B15" w:rsidP="004F0B15">
      <w:pPr>
        <w:pStyle w:val="Zkladntext"/>
        <w:spacing w:after="200"/>
        <w:outlineLvl w:val="0"/>
        <w:rPr>
          <w:rFonts w:ascii="Arial" w:hAnsi="Arial" w:cs="Arial"/>
          <w:b/>
          <w:sz w:val="18"/>
          <w:szCs w:val="18"/>
        </w:rPr>
      </w:pPr>
      <w:r w:rsidRPr="00CF7959">
        <w:rPr>
          <w:rFonts w:ascii="Arial" w:hAnsi="Arial" w:cs="Arial"/>
          <w:b/>
          <w:sz w:val="18"/>
          <w:szCs w:val="18"/>
        </w:rPr>
        <w:t>Amundi. Důvěru je třeba si získat.</w:t>
      </w:r>
    </w:p>
    <w:p w:rsidR="004F0B15" w:rsidRPr="00CF7959" w:rsidRDefault="004F0B15" w:rsidP="004F0B15">
      <w:pPr>
        <w:pStyle w:val="Zkladntext"/>
        <w:spacing w:after="200"/>
        <w:jc w:val="both"/>
        <w:rPr>
          <w:rFonts w:ascii="Arial" w:hAnsi="Arial" w:cs="Arial"/>
          <w:sz w:val="18"/>
          <w:szCs w:val="18"/>
        </w:rPr>
      </w:pPr>
      <w:r w:rsidRPr="00CF7959">
        <w:rPr>
          <w:rFonts w:ascii="Arial" w:hAnsi="Arial" w:cs="Arial"/>
          <w:sz w:val="18"/>
          <w:szCs w:val="18"/>
        </w:rPr>
        <w:t xml:space="preserve">Více informací na </w:t>
      </w:r>
      <w:hyperlink r:id="rId14" w:history="1">
        <w:r w:rsidRPr="00CF7959">
          <w:rPr>
            <w:rStyle w:val="Hypertextovodkaz"/>
            <w:rFonts w:ascii="Arial" w:hAnsi="Arial" w:cs="Arial"/>
            <w:sz w:val="18"/>
            <w:szCs w:val="18"/>
          </w:rPr>
          <w:t>amundi.cz</w:t>
        </w:r>
      </w:hyperlink>
    </w:p>
    <w:p w:rsidR="0001710A" w:rsidRPr="00CF7959" w:rsidRDefault="0001710A" w:rsidP="0001710A">
      <w:pPr>
        <w:pStyle w:val="Textpoznpodarou"/>
        <w:ind w:firstLine="0"/>
        <w:rPr>
          <w:sz w:val="18"/>
        </w:rPr>
      </w:pPr>
      <w:r w:rsidRPr="0001710A">
        <w:rPr>
          <w:vertAlign w:val="superscript"/>
        </w:rPr>
        <w:footnoteRef/>
      </w:r>
      <w:r w:rsidRPr="00CF7959">
        <w:rPr>
          <w:sz w:val="18"/>
        </w:rPr>
        <w:t xml:space="preserve">Zdroj: IPE „Top 400 </w:t>
      </w:r>
      <w:proofErr w:type="spellStart"/>
      <w:r w:rsidRPr="00CF7959">
        <w:rPr>
          <w:sz w:val="18"/>
        </w:rPr>
        <w:t>asset</w:t>
      </w:r>
      <w:proofErr w:type="spellEnd"/>
      <w:r w:rsidRPr="00CF7959">
        <w:rPr>
          <w:sz w:val="18"/>
        </w:rPr>
        <w:t xml:space="preserve"> </w:t>
      </w:r>
      <w:proofErr w:type="spellStart"/>
      <w:r w:rsidRPr="00CF7959">
        <w:rPr>
          <w:sz w:val="18"/>
        </w:rPr>
        <w:t>managers</w:t>
      </w:r>
      <w:proofErr w:type="spellEnd"/>
      <w:r w:rsidRPr="00CF7959">
        <w:rPr>
          <w:sz w:val="18"/>
        </w:rPr>
        <w:t>“ publiková</w:t>
      </w:r>
      <w:r>
        <w:rPr>
          <w:sz w:val="18"/>
        </w:rPr>
        <w:t>no v červnu 2018, podle AUM k prosinci 2017</w:t>
      </w:r>
      <w:r w:rsidRPr="00CF7959">
        <w:rPr>
          <w:sz w:val="18"/>
        </w:rPr>
        <w:t>.</w:t>
      </w:r>
    </w:p>
    <w:p w:rsidR="0001710A" w:rsidRPr="00CF7959" w:rsidRDefault="0001710A" w:rsidP="0001710A">
      <w:pPr>
        <w:pStyle w:val="Textpoznpodarou"/>
        <w:ind w:firstLine="0"/>
        <w:rPr>
          <w:sz w:val="18"/>
        </w:rPr>
      </w:pPr>
      <w:r w:rsidRPr="0001710A">
        <w:rPr>
          <w:vertAlign w:val="superscript"/>
        </w:rPr>
        <w:t>2</w:t>
      </w:r>
      <w:r w:rsidRPr="00CF7959">
        <w:rPr>
          <w:sz w:val="18"/>
        </w:rPr>
        <w:t xml:space="preserve">Informace Amundi k </w:t>
      </w:r>
      <w:r w:rsidR="00B66523">
        <w:rPr>
          <w:sz w:val="18"/>
        </w:rPr>
        <w:t>26</w:t>
      </w:r>
      <w:r w:rsidRPr="00CF7959">
        <w:rPr>
          <w:sz w:val="18"/>
        </w:rPr>
        <w:t xml:space="preserve">. </w:t>
      </w:r>
      <w:r w:rsidR="00B66523">
        <w:rPr>
          <w:sz w:val="18"/>
        </w:rPr>
        <w:t>dubnu 2019</w:t>
      </w:r>
      <w:r w:rsidRPr="00CF7959">
        <w:rPr>
          <w:sz w:val="18"/>
        </w:rPr>
        <w:t>.</w:t>
      </w:r>
    </w:p>
    <w:p w:rsidR="0001710A" w:rsidRPr="00CF7959" w:rsidRDefault="0001710A" w:rsidP="0001710A">
      <w:pPr>
        <w:pStyle w:val="Textpoznpodarou"/>
        <w:ind w:firstLine="0"/>
        <w:rPr>
          <w:sz w:val="18"/>
        </w:rPr>
      </w:pPr>
      <w:r w:rsidRPr="0001710A">
        <w:rPr>
          <w:sz w:val="18"/>
          <w:vertAlign w:val="superscript"/>
        </w:rPr>
        <w:t>3</w:t>
      </w:r>
      <w:r w:rsidRPr="00CF7959">
        <w:rPr>
          <w:sz w:val="18"/>
        </w:rPr>
        <w:t>Investiční centra: Boston, Dublin, Londýn, Milán, Paříž a Tokio.</w:t>
      </w:r>
    </w:p>
    <w:p w:rsidR="0001710A" w:rsidRDefault="0001710A" w:rsidP="0001710A">
      <w:pPr>
        <w:pStyle w:val="Textpoznpodarou"/>
        <w:ind w:firstLine="0"/>
        <w:rPr>
          <w:sz w:val="18"/>
        </w:rPr>
      </w:pPr>
      <w:r w:rsidRPr="0001710A">
        <w:rPr>
          <w:vertAlign w:val="superscript"/>
        </w:rPr>
        <w:t>4</w:t>
      </w:r>
      <w:r w:rsidRPr="00CF7959">
        <w:rPr>
          <w:sz w:val="18"/>
        </w:rPr>
        <w:t>Podle tržní kapitalizace k 30. září 2018.</w:t>
      </w:r>
    </w:p>
    <w:p w:rsidR="0001710A" w:rsidRDefault="0001710A" w:rsidP="0001710A">
      <w:pPr>
        <w:pStyle w:val="Textpoznpodarou"/>
        <w:pBdr>
          <w:bottom w:val="single" w:sz="12" w:space="1" w:color="auto"/>
        </w:pBdr>
        <w:ind w:firstLine="0"/>
        <w:rPr>
          <w:sz w:val="18"/>
        </w:rPr>
      </w:pPr>
    </w:p>
    <w:p w:rsidR="0001710A" w:rsidRDefault="0001710A">
      <w:pPr>
        <w:rPr>
          <w:rFonts w:ascii="Arial" w:hAnsi="Arial" w:cs="Arial"/>
          <w:b/>
          <w:sz w:val="20"/>
          <w:szCs w:val="20"/>
        </w:rPr>
      </w:pPr>
    </w:p>
    <w:p w:rsidR="0094365F" w:rsidRPr="00A15891" w:rsidRDefault="0094365F" w:rsidP="00CF7959">
      <w:pPr>
        <w:outlineLvl w:val="0"/>
        <w:rPr>
          <w:rFonts w:ascii="Arial" w:hAnsi="Arial" w:cs="Arial"/>
          <w:sz w:val="0"/>
          <w:szCs w:val="0"/>
          <w:shd w:val="clear" w:color="auto" w:fill="000000"/>
        </w:rPr>
      </w:pPr>
      <w:r w:rsidRPr="00A15891">
        <w:rPr>
          <w:rFonts w:ascii="Arial" w:hAnsi="Arial" w:cs="Arial"/>
          <w:b/>
          <w:sz w:val="20"/>
          <w:szCs w:val="20"/>
        </w:rPr>
        <w:t>Kontakt:</w:t>
      </w:r>
      <w:r w:rsidRPr="00A15891">
        <w:rPr>
          <w:rFonts w:ascii="Arial" w:hAnsi="Arial" w:cs="Arial"/>
          <w:sz w:val="0"/>
          <w:szCs w:val="0"/>
          <w:shd w:val="clear" w:color="auto" w:fill="000000"/>
        </w:rPr>
        <w:t xml:space="preserve"> </w:t>
      </w:r>
    </w:p>
    <w:p w:rsidR="0094365F" w:rsidRPr="00A15891" w:rsidRDefault="0094365F" w:rsidP="0094365F">
      <w:pPr>
        <w:tabs>
          <w:tab w:val="left" w:pos="142"/>
        </w:tabs>
        <w:autoSpaceDE w:val="0"/>
        <w:rPr>
          <w:rFonts w:ascii="Arial" w:hAnsi="Arial" w:cs="Arial"/>
          <w:b/>
          <w:sz w:val="20"/>
          <w:szCs w:val="20"/>
        </w:rPr>
      </w:pPr>
    </w:p>
    <w:p w:rsidR="0001710A" w:rsidRDefault="0001710A" w:rsidP="00B410D8">
      <w:pPr>
        <w:rPr>
          <w:rFonts w:ascii="Arial" w:hAnsi="Arial" w:cs="Arial"/>
          <w:b/>
          <w:bCs/>
          <w:sz w:val="18"/>
          <w:szCs w:val="18"/>
        </w:rPr>
        <w:sectPr w:rsidR="0001710A" w:rsidSect="007D7060">
          <w:footerReference w:type="default" r:id="rId15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  <w:bookmarkStart w:id="0" w:name=".LE_LINK2___६__6_"/>
    </w:p>
    <w:p w:rsidR="00031663" w:rsidRDefault="00B410D8" w:rsidP="00B410D8">
      <w:pPr>
        <w:rPr>
          <w:rFonts w:ascii="Arial" w:hAnsi="Arial" w:cs="Arial"/>
          <w:sz w:val="18"/>
          <w:szCs w:val="18"/>
        </w:rPr>
      </w:pPr>
      <w:r w:rsidRPr="00A15891">
        <w:rPr>
          <w:rFonts w:ascii="Arial" w:hAnsi="Arial" w:cs="Arial"/>
          <w:b/>
          <w:bCs/>
          <w:sz w:val="18"/>
          <w:szCs w:val="18"/>
        </w:rPr>
        <w:lastRenderedPageBreak/>
        <w:t>Dana </w:t>
      </w:r>
      <w:proofErr w:type="spellStart"/>
      <w:r w:rsidRPr="00A15891">
        <w:rPr>
          <w:rFonts w:ascii="Arial" w:hAnsi="Arial" w:cs="Arial"/>
          <w:b/>
          <w:bCs/>
          <w:sz w:val="18"/>
          <w:szCs w:val="18"/>
        </w:rPr>
        <w:t>Kryńska</w:t>
      </w:r>
      <w:proofErr w:type="spellEnd"/>
      <w:r w:rsidRPr="00A15891">
        <w:rPr>
          <w:rFonts w:ascii="Arial" w:hAnsi="Arial" w:cs="Arial"/>
          <w:b/>
          <w:bCs/>
          <w:sz w:val="18"/>
          <w:szCs w:val="18"/>
        </w:rPr>
        <w:br/>
      </w:r>
      <w:proofErr w:type="spellStart"/>
      <w:r w:rsidRPr="00A15891">
        <w:rPr>
          <w:rFonts w:ascii="Arial" w:hAnsi="Arial" w:cs="Arial"/>
          <w:sz w:val="18"/>
          <w:szCs w:val="18"/>
        </w:rPr>
        <w:t>Head</w:t>
      </w:r>
      <w:proofErr w:type="spellEnd"/>
      <w:r w:rsidRPr="00A1589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15891">
        <w:rPr>
          <w:rFonts w:ascii="Arial" w:hAnsi="Arial" w:cs="Arial"/>
          <w:sz w:val="18"/>
          <w:szCs w:val="18"/>
        </w:rPr>
        <w:t>of</w:t>
      </w:r>
      <w:proofErr w:type="spellEnd"/>
      <w:r w:rsidRPr="00A1589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94441">
        <w:rPr>
          <w:rFonts w:ascii="Arial" w:hAnsi="Arial" w:cs="Arial"/>
          <w:sz w:val="18"/>
          <w:szCs w:val="18"/>
        </w:rPr>
        <w:t>Communication</w:t>
      </w:r>
      <w:proofErr w:type="spellEnd"/>
    </w:p>
    <w:p w:rsidR="00B8372A" w:rsidRDefault="00415DA0" w:rsidP="00B410D8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Amundi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Czech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Republic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Asset</w:t>
      </w:r>
      <w:proofErr w:type="spellEnd"/>
      <w:r>
        <w:rPr>
          <w:rFonts w:ascii="Arial" w:hAnsi="Arial" w:cs="Arial"/>
          <w:sz w:val="18"/>
          <w:szCs w:val="18"/>
        </w:rPr>
        <w:t xml:space="preserve"> Management</w:t>
      </w:r>
      <w:r w:rsidR="00031663">
        <w:rPr>
          <w:rFonts w:ascii="Arial" w:hAnsi="Arial" w:cs="Arial"/>
          <w:sz w:val="18"/>
          <w:szCs w:val="18"/>
        </w:rPr>
        <w:t xml:space="preserve">, a.s. </w:t>
      </w:r>
    </w:p>
    <w:p w:rsidR="00031663" w:rsidRDefault="00031663" w:rsidP="00B410D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společnost skupiny Amundi</w:t>
      </w:r>
    </w:p>
    <w:p w:rsidR="00B410D8" w:rsidRPr="00A15891" w:rsidRDefault="004F0B15" w:rsidP="00B410D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Budova Rustonka 2</w:t>
      </w:r>
      <w:r w:rsidR="00F62FF9" w:rsidRPr="00A15891">
        <w:rPr>
          <w:rFonts w:ascii="Arial" w:hAnsi="Arial" w:cs="Arial"/>
          <w:sz w:val="18"/>
          <w:szCs w:val="18"/>
        </w:rPr>
        <w:t xml:space="preserve"> </w:t>
      </w:r>
      <w:r w:rsidR="00B410D8" w:rsidRPr="00A15891">
        <w:rPr>
          <w:rFonts w:ascii="Arial" w:hAnsi="Arial" w:cs="Arial"/>
          <w:sz w:val="18"/>
          <w:szCs w:val="18"/>
        </w:rPr>
        <w:t xml:space="preserve">| </w:t>
      </w:r>
      <w:proofErr w:type="spellStart"/>
      <w:r>
        <w:rPr>
          <w:rFonts w:ascii="Arial" w:hAnsi="Arial" w:cs="Arial"/>
          <w:sz w:val="18"/>
          <w:szCs w:val="18"/>
        </w:rPr>
        <w:t>Rohanské</w:t>
      </w:r>
      <w:proofErr w:type="spellEnd"/>
      <w:r>
        <w:rPr>
          <w:rFonts w:ascii="Arial" w:hAnsi="Arial" w:cs="Arial"/>
          <w:sz w:val="18"/>
          <w:szCs w:val="18"/>
        </w:rPr>
        <w:t xml:space="preserve"> nábřeží 693/10</w:t>
      </w:r>
      <w:r w:rsidR="00B410D8" w:rsidRPr="00A15891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B410D8" w:rsidRPr="00A15891" w:rsidRDefault="004F0B15" w:rsidP="00B410D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186 00 Praha 8</w:t>
      </w:r>
    </w:p>
    <w:p w:rsidR="00B8372A" w:rsidRPr="00A15891" w:rsidRDefault="00694441" w:rsidP="00B410D8">
      <w:pPr>
        <w:rPr>
          <w:rStyle w:val="Hypertextovodka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="00B8372A" w:rsidRPr="00A15891">
        <w:rPr>
          <w:rFonts w:ascii="Arial" w:hAnsi="Arial" w:cs="Arial"/>
          <w:sz w:val="18"/>
          <w:szCs w:val="18"/>
        </w:rPr>
        <w:t>el.</w:t>
      </w:r>
      <w:r w:rsidR="004F0B15">
        <w:rPr>
          <w:rFonts w:ascii="Arial" w:hAnsi="Arial" w:cs="Arial"/>
          <w:sz w:val="18"/>
          <w:szCs w:val="18"/>
        </w:rPr>
        <w:t>:</w:t>
      </w:r>
      <w:r w:rsidR="00B8372A" w:rsidRPr="00A15891">
        <w:rPr>
          <w:rFonts w:ascii="Arial" w:hAnsi="Arial" w:cs="Arial"/>
          <w:sz w:val="18"/>
          <w:szCs w:val="18"/>
        </w:rPr>
        <w:t xml:space="preserve">  +420 296 354 423, </w:t>
      </w:r>
      <w:r w:rsidR="00B410D8" w:rsidRPr="00A15891">
        <w:rPr>
          <w:rFonts w:ascii="Arial" w:hAnsi="Arial" w:cs="Arial"/>
          <w:sz w:val="18"/>
          <w:szCs w:val="18"/>
        </w:rPr>
        <w:t>+420 603 471 990</w:t>
      </w:r>
      <w:r w:rsidR="00B410D8" w:rsidRPr="00A15891">
        <w:rPr>
          <w:rStyle w:val="Hypertextovodkaz"/>
          <w:rFonts w:ascii="Arial" w:hAnsi="Arial" w:cs="Arial"/>
          <w:sz w:val="18"/>
          <w:szCs w:val="18"/>
        </w:rPr>
        <w:br/>
      </w:r>
      <w:r w:rsidR="00B8372A" w:rsidRPr="00A15891">
        <w:rPr>
          <w:rFonts w:ascii="Arial" w:hAnsi="Arial" w:cs="Arial"/>
          <w:sz w:val="18"/>
          <w:szCs w:val="18"/>
        </w:rPr>
        <w:t>e</w:t>
      </w:r>
      <w:r w:rsidR="004F0B15">
        <w:rPr>
          <w:rFonts w:ascii="Arial" w:hAnsi="Arial" w:cs="Arial"/>
          <w:sz w:val="18"/>
          <w:szCs w:val="18"/>
        </w:rPr>
        <w:t>-</w:t>
      </w:r>
      <w:r w:rsidR="00B8372A" w:rsidRPr="00A15891">
        <w:rPr>
          <w:rFonts w:ascii="Arial" w:hAnsi="Arial" w:cs="Arial"/>
          <w:sz w:val="18"/>
          <w:szCs w:val="18"/>
        </w:rPr>
        <w:t xml:space="preserve">mail: </w:t>
      </w:r>
      <w:hyperlink r:id="rId16" w:history="1">
        <w:r w:rsidR="00E3626E" w:rsidRPr="007B5F97">
          <w:rPr>
            <w:rStyle w:val="Hypertextovodkaz"/>
            <w:rFonts w:ascii="Arial" w:hAnsi="Arial" w:cs="Arial"/>
            <w:sz w:val="18"/>
            <w:szCs w:val="18"/>
          </w:rPr>
          <w:t>dana.krynska@amundi.com</w:t>
        </w:r>
      </w:hyperlink>
    </w:p>
    <w:p w:rsidR="00B410D8" w:rsidRDefault="00DC08CC" w:rsidP="00B410D8">
      <w:pPr>
        <w:rPr>
          <w:rStyle w:val="Hypertextovodkaz"/>
          <w:rFonts w:ascii="Arial" w:hAnsi="Arial" w:cs="Arial"/>
          <w:sz w:val="18"/>
          <w:szCs w:val="18"/>
        </w:rPr>
      </w:pPr>
      <w:hyperlink r:id="rId17" w:history="1">
        <w:r w:rsidR="004F0B15" w:rsidRPr="009173AB">
          <w:rPr>
            <w:rStyle w:val="Hypertextovodkaz"/>
            <w:rFonts w:ascii="Arial" w:hAnsi="Arial" w:cs="Arial"/>
            <w:sz w:val="18"/>
            <w:szCs w:val="18"/>
          </w:rPr>
          <w:t>www.amundi.cz</w:t>
        </w:r>
      </w:hyperlink>
    </w:p>
    <w:p w:rsidR="00B410D8" w:rsidRPr="00A15891" w:rsidRDefault="00B410D8" w:rsidP="0094365F">
      <w:pPr>
        <w:autoSpaceDE w:val="0"/>
        <w:rPr>
          <w:rFonts w:ascii="Arial" w:hAnsi="Arial" w:cs="Arial"/>
          <w:b/>
          <w:sz w:val="18"/>
          <w:szCs w:val="18"/>
        </w:rPr>
      </w:pPr>
    </w:p>
    <w:p w:rsidR="0094365F" w:rsidRPr="00A15891" w:rsidRDefault="0094365F" w:rsidP="00CF7959">
      <w:pPr>
        <w:autoSpaceDE w:val="0"/>
        <w:outlineLvl w:val="0"/>
        <w:rPr>
          <w:rFonts w:ascii="Arial" w:hAnsi="Arial" w:cs="Arial"/>
          <w:b/>
          <w:sz w:val="18"/>
          <w:szCs w:val="18"/>
        </w:rPr>
      </w:pPr>
      <w:r w:rsidRPr="00A15891">
        <w:rPr>
          <w:rFonts w:ascii="Arial" w:hAnsi="Arial" w:cs="Arial"/>
          <w:b/>
          <w:sz w:val="18"/>
          <w:szCs w:val="18"/>
        </w:rPr>
        <w:lastRenderedPageBreak/>
        <w:t xml:space="preserve">Stance </w:t>
      </w:r>
      <w:proofErr w:type="spellStart"/>
      <w:r w:rsidRPr="00A15891">
        <w:rPr>
          <w:rFonts w:ascii="Arial" w:hAnsi="Arial" w:cs="Arial"/>
          <w:b/>
          <w:sz w:val="18"/>
          <w:szCs w:val="18"/>
        </w:rPr>
        <w:t>Communications</w:t>
      </w:r>
      <w:proofErr w:type="spellEnd"/>
    </w:p>
    <w:p w:rsidR="00B8372A" w:rsidRPr="00A15891" w:rsidRDefault="00F17CD2" w:rsidP="00CF7959">
      <w:pPr>
        <w:autoSpaceDE w:val="0"/>
        <w:outlineLvl w:val="0"/>
        <w:rPr>
          <w:rFonts w:ascii="Arial" w:hAnsi="Arial" w:cs="Arial"/>
          <w:sz w:val="18"/>
          <w:szCs w:val="18"/>
        </w:rPr>
      </w:pPr>
      <w:r w:rsidRPr="00A15891">
        <w:rPr>
          <w:rFonts w:ascii="Arial" w:hAnsi="Arial" w:cs="Arial"/>
          <w:sz w:val="18"/>
          <w:szCs w:val="18"/>
        </w:rPr>
        <w:t>Tereza Schneiderová</w:t>
      </w:r>
    </w:p>
    <w:p w:rsidR="00B8372A" w:rsidRPr="00A15891" w:rsidRDefault="0094365F" w:rsidP="0094365F">
      <w:pPr>
        <w:autoSpaceDE w:val="0"/>
        <w:rPr>
          <w:rFonts w:ascii="Arial" w:hAnsi="Arial" w:cs="Arial"/>
          <w:sz w:val="18"/>
          <w:szCs w:val="18"/>
        </w:rPr>
      </w:pPr>
      <w:proofErr w:type="spellStart"/>
      <w:r w:rsidRPr="00A15891">
        <w:rPr>
          <w:rFonts w:ascii="Arial" w:hAnsi="Arial" w:cs="Arial"/>
          <w:sz w:val="18"/>
          <w:szCs w:val="18"/>
        </w:rPr>
        <w:t>Account</w:t>
      </w:r>
      <w:proofErr w:type="spellEnd"/>
      <w:r w:rsidRPr="00A1589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15891">
        <w:rPr>
          <w:rFonts w:ascii="Arial" w:hAnsi="Arial" w:cs="Arial"/>
          <w:sz w:val="18"/>
          <w:szCs w:val="18"/>
        </w:rPr>
        <w:t>Manager</w:t>
      </w:r>
      <w:proofErr w:type="spellEnd"/>
      <w:r w:rsidRPr="00A15891">
        <w:rPr>
          <w:rFonts w:ascii="Arial" w:hAnsi="Arial" w:cs="Arial"/>
          <w:sz w:val="18"/>
          <w:szCs w:val="18"/>
        </w:rPr>
        <w:t xml:space="preserve"> </w:t>
      </w:r>
    </w:p>
    <w:p w:rsidR="0094365F" w:rsidRPr="00A15891" w:rsidRDefault="00B8372A" w:rsidP="0094365F">
      <w:pPr>
        <w:autoSpaceDE w:val="0"/>
        <w:rPr>
          <w:rFonts w:ascii="Arial" w:hAnsi="Arial" w:cs="Arial"/>
          <w:sz w:val="18"/>
          <w:szCs w:val="18"/>
        </w:rPr>
      </w:pPr>
      <w:r w:rsidRPr="00A15891">
        <w:rPr>
          <w:rFonts w:ascii="Arial" w:hAnsi="Arial" w:cs="Arial"/>
          <w:sz w:val="18"/>
          <w:szCs w:val="18"/>
        </w:rPr>
        <w:t xml:space="preserve">Stance </w:t>
      </w:r>
      <w:proofErr w:type="spellStart"/>
      <w:r w:rsidRPr="00A15891">
        <w:rPr>
          <w:rFonts w:ascii="Arial" w:hAnsi="Arial" w:cs="Arial"/>
          <w:sz w:val="18"/>
          <w:szCs w:val="18"/>
        </w:rPr>
        <w:t>Communications</w:t>
      </w:r>
      <w:proofErr w:type="spellEnd"/>
      <w:r w:rsidR="004F0B15">
        <w:rPr>
          <w:rFonts w:ascii="Arial" w:hAnsi="Arial" w:cs="Arial"/>
          <w:sz w:val="18"/>
          <w:szCs w:val="18"/>
        </w:rPr>
        <w:t>, s.r.o.</w:t>
      </w:r>
    </w:p>
    <w:p w:rsidR="00B8372A" w:rsidRPr="00A15891" w:rsidRDefault="004F0B15" w:rsidP="0094365F">
      <w:pPr>
        <w:autoSpaceDE w:val="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Jungmannova</w:t>
      </w:r>
      <w:proofErr w:type="spellEnd"/>
      <w:r>
        <w:rPr>
          <w:rFonts w:ascii="Arial" w:hAnsi="Arial" w:cs="Arial"/>
          <w:sz w:val="18"/>
          <w:szCs w:val="18"/>
        </w:rPr>
        <w:t xml:space="preserve"> 750/34</w:t>
      </w:r>
    </w:p>
    <w:p w:rsidR="00B8372A" w:rsidRPr="00A15891" w:rsidRDefault="00B8372A" w:rsidP="0094365F">
      <w:pPr>
        <w:autoSpaceDE w:val="0"/>
        <w:rPr>
          <w:rFonts w:ascii="Arial" w:hAnsi="Arial" w:cs="Arial"/>
          <w:sz w:val="18"/>
          <w:szCs w:val="18"/>
        </w:rPr>
      </w:pPr>
      <w:r w:rsidRPr="00A15891">
        <w:rPr>
          <w:rFonts w:ascii="Arial" w:hAnsi="Arial" w:cs="Arial"/>
          <w:sz w:val="18"/>
          <w:szCs w:val="18"/>
        </w:rPr>
        <w:t>110 00 Praha 1</w:t>
      </w:r>
    </w:p>
    <w:p w:rsidR="0094365F" w:rsidRPr="00A15891" w:rsidRDefault="0094365F" w:rsidP="0094365F">
      <w:pPr>
        <w:autoSpaceDE w:val="0"/>
        <w:rPr>
          <w:rFonts w:ascii="Arial" w:hAnsi="Arial" w:cs="Arial"/>
          <w:sz w:val="18"/>
          <w:szCs w:val="18"/>
        </w:rPr>
      </w:pPr>
      <w:r w:rsidRPr="00A15891">
        <w:rPr>
          <w:rFonts w:ascii="Arial" w:hAnsi="Arial" w:cs="Arial"/>
          <w:sz w:val="18"/>
          <w:szCs w:val="18"/>
        </w:rPr>
        <w:t xml:space="preserve">Tel: +420 224 810 809, +420 724 872 331 </w:t>
      </w:r>
    </w:p>
    <w:p w:rsidR="0094365F" w:rsidRPr="00A15891" w:rsidRDefault="0094365F" w:rsidP="0094365F">
      <w:pPr>
        <w:autoSpaceDE w:val="0"/>
        <w:rPr>
          <w:sz w:val="18"/>
          <w:szCs w:val="18"/>
        </w:rPr>
      </w:pPr>
      <w:r w:rsidRPr="00A15891">
        <w:rPr>
          <w:rFonts w:ascii="Arial" w:hAnsi="Arial" w:cs="Arial"/>
          <w:sz w:val="18"/>
          <w:szCs w:val="18"/>
        </w:rPr>
        <w:t xml:space="preserve">e-mail: </w:t>
      </w:r>
      <w:hyperlink r:id="rId18" w:history="1">
        <w:r w:rsidR="00F17CD2" w:rsidRPr="00A15891">
          <w:rPr>
            <w:rStyle w:val="Hypertextovodkaz"/>
            <w:rFonts w:ascii="Arial" w:hAnsi="Arial"/>
            <w:sz w:val="18"/>
            <w:szCs w:val="18"/>
          </w:rPr>
          <w:t>tereza.schneiderova@stance.cz</w:t>
        </w:r>
      </w:hyperlink>
    </w:p>
    <w:p w:rsidR="0001710A" w:rsidRDefault="00DC08CC" w:rsidP="00E22A38">
      <w:pPr>
        <w:autoSpaceDE w:val="0"/>
        <w:sectPr w:rsidR="0001710A" w:rsidSect="0001710A">
          <w:type w:val="continuous"/>
          <w:pgSz w:w="11906" w:h="16838"/>
          <w:pgMar w:top="1418" w:right="1418" w:bottom="1134" w:left="1418" w:header="709" w:footer="709" w:gutter="0"/>
          <w:cols w:num="2" w:space="708"/>
          <w:docGrid w:linePitch="360"/>
        </w:sectPr>
      </w:pPr>
      <w:hyperlink r:id="rId19" w:history="1">
        <w:r w:rsidR="0094365F" w:rsidRPr="00A15891">
          <w:rPr>
            <w:rStyle w:val="Hypertextovodkaz"/>
            <w:rFonts w:ascii="Arial" w:hAnsi="Arial"/>
            <w:sz w:val="18"/>
            <w:szCs w:val="18"/>
          </w:rPr>
          <w:t>www.stance.cz</w:t>
        </w:r>
      </w:hyperlink>
      <w:bookmarkEnd w:id="0"/>
    </w:p>
    <w:p w:rsidR="00E22A38" w:rsidRDefault="00E22A38" w:rsidP="0094365F">
      <w:pPr>
        <w:autoSpaceDE w:val="0"/>
      </w:pPr>
    </w:p>
    <w:p w:rsidR="00700877" w:rsidRPr="00E22A38" w:rsidRDefault="00E22A38" w:rsidP="00700877">
      <w:pPr>
        <w:pStyle w:val="Zkladntext"/>
        <w:jc w:val="both"/>
        <w:rPr>
          <w:rFonts w:ascii="Arial" w:hAnsi="Arial" w:cs="Arial"/>
          <w:sz w:val="16"/>
          <w:szCs w:val="18"/>
        </w:rPr>
      </w:pPr>
      <w:r w:rsidRPr="00E22A38">
        <w:rPr>
          <w:rFonts w:ascii="Arial" w:hAnsi="Arial" w:cs="Arial"/>
          <w:sz w:val="16"/>
          <w:szCs w:val="18"/>
        </w:rPr>
        <w:t xml:space="preserve">Uvedené informace nejsou určeny americkým osobám, nepředstavují nabídku ani poradenství. Předchozí ani očekávaná budoucí výkonnost nezaručuje skutečnou výkonnost v budoucím období. Hodnota investice a příjem z ní může stoupat i klesat a nejsou zaručeny jak návratnost investované částky, tak ani případné vyplacení dividendy. Výnos u </w:t>
      </w:r>
      <w:proofErr w:type="spellStart"/>
      <w:r w:rsidRPr="00E22A38">
        <w:rPr>
          <w:rFonts w:ascii="Arial" w:hAnsi="Arial" w:cs="Arial"/>
          <w:sz w:val="16"/>
          <w:szCs w:val="18"/>
        </w:rPr>
        <w:t>cizoměnových</w:t>
      </w:r>
      <w:proofErr w:type="spellEnd"/>
      <w:r w:rsidRPr="00E22A38">
        <w:rPr>
          <w:rFonts w:ascii="Arial" w:hAnsi="Arial" w:cs="Arial"/>
          <w:sz w:val="16"/>
          <w:szCs w:val="18"/>
        </w:rPr>
        <w:t xml:space="preserve"> investičních nástrojů může kolísat v důsledku výkyvů měnového kurzu. Zdanění závisí vždy na osobních poměrech zákazníka a může se měnit. Informace o rizicích jsou zveřejněny v českém (Amundi CR) nebo anglickém jazyce (Amundi AM) na </w:t>
      </w:r>
      <w:hyperlink r:id="rId20" w:history="1">
        <w:r w:rsidRPr="00E22A38">
          <w:rPr>
            <w:rStyle w:val="Hypertextovodkaz"/>
            <w:rFonts w:ascii="Arial" w:hAnsi="Arial" w:cs="Arial"/>
            <w:sz w:val="16"/>
            <w:szCs w:val="18"/>
          </w:rPr>
          <w:t>www.amundi-kb.cz</w:t>
        </w:r>
      </w:hyperlink>
      <w:r w:rsidRPr="00E22A38">
        <w:rPr>
          <w:rFonts w:ascii="Arial" w:hAnsi="Arial" w:cs="Arial"/>
          <w:sz w:val="16"/>
          <w:szCs w:val="18"/>
        </w:rPr>
        <w:t xml:space="preserve">, </w:t>
      </w:r>
      <w:hyperlink r:id="rId21" w:history="1">
        <w:r w:rsidRPr="00E22A38">
          <w:rPr>
            <w:rStyle w:val="Hypertextovodkaz"/>
            <w:rFonts w:ascii="Arial" w:hAnsi="Arial" w:cs="Arial"/>
            <w:sz w:val="16"/>
            <w:szCs w:val="18"/>
          </w:rPr>
          <w:t>www.amundi.cz</w:t>
        </w:r>
      </w:hyperlink>
      <w:r w:rsidRPr="00E22A38">
        <w:rPr>
          <w:rFonts w:ascii="Arial" w:hAnsi="Arial" w:cs="Arial"/>
          <w:sz w:val="16"/>
          <w:szCs w:val="18"/>
        </w:rPr>
        <w:t xml:space="preserve"> ve statutech fondů, sděleních klíčových informací, nebo prospektech fondů. Bližší informace získáte na </w:t>
      </w:r>
      <w:hyperlink r:id="rId22" w:history="1">
        <w:r w:rsidRPr="00E22A38">
          <w:rPr>
            <w:rStyle w:val="Hypertextovodkaz"/>
            <w:rFonts w:ascii="Arial" w:hAnsi="Arial" w:cs="Arial"/>
            <w:sz w:val="16"/>
            <w:szCs w:val="18"/>
          </w:rPr>
          <w:t>infocr@amundi.com</w:t>
        </w:r>
      </w:hyperlink>
      <w:r w:rsidRPr="00E22A38">
        <w:rPr>
          <w:rFonts w:ascii="Arial" w:hAnsi="Arial" w:cs="Arial"/>
          <w:sz w:val="16"/>
          <w:szCs w:val="18"/>
        </w:rPr>
        <w:t xml:space="preserve"> nebo </w:t>
      </w:r>
      <w:hyperlink r:id="rId23" w:history="1">
        <w:r w:rsidRPr="00E22A38">
          <w:rPr>
            <w:rStyle w:val="Hypertextovodkaz"/>
            <w:rFonts w:ascii="Arial" w:hAnsi="Arial" w:cs="Arial"/>
            <w:sz w:val="16"/>
            <w:szCs w:val="18"/>
          </w:rPr>
          <w:t>www.amundi-kb.cz</w:t>
        </w:r>
      </w:hyperlink>
      <w:r w:rsidRPr="00E22A38">
        <w:rPr>
          <w:rFonts w:ascii="Arial" w:hAnsi="Arial" w:cs="Arial"/>
          <w:sz w:val="16"/>
          <w:szCs w:val="18"/>
        </w:rPr>
        <w:t xml:space="preserve">, </w:t>
      </w:r>
      <w:hyperlink r:id="rId24" w:history="1">
        <w:r w:rsidRPr="00E22A38">
          <w:rPr>
            <w:rStyle w:val="Hypertextovodkaz"/>
            <w:rFonts w:ascii="Arial" w:hAnsi="Arial" w:cs="Arial"/>
            <w:sz w:val="16"/>
            <w:szCs w:val="18"/>
          </w:rPr>
          <w:t>www.amundi.cz</w:t>
        </w:r>
      </w:hyperlink>
      <w:r w:rsidRPr="00E22A38">
        <w:rPr>
          <w:rFonts w:ascii="Arial" w:hAnsi="Arial" w:cs="Arial"/>
          <w:sz w:val="16"/>
          <w:szCs w:val="18"/>
        </w:rPr>
        <w:t>. Žádná ze společností ze skupiny Amundi nepřijímají žádnou přímou ani nepřímou odpovědnost, která by mohla vzniknout v důsledku použití informací uvedených v tomto materiálu.</w:t>
      </w:r>
    </w:p>
    <w:p w:rsidR="00B024BA" w:rsidRPr="00E22A38" w:rsidRDefault="00B024BA">
      <w:pPr>
        <w:pStyle w:val="Zkladntext"/>
        <w:jc w:val="both"/>
        <w:rPr>
          <w:rFonts w:ascii="Arial" w:hAnsi="Arial" w:cs="Arial"/>
          <w:sz w:val="16"/>
          <w:szCs w:val="18"/>
        </w:rPr>
      </w:pPr>
    </w:p>
    <w:sectPr w:rsidR="00B024BA" w:rsidRPr="00E22A38" w:rsidSect="0001710A">
      <w:type w:val="continuous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877" w:rsidRDefault="00700877" w:rsidP="00C4500B">
      <w:r>
        <w:separator/>
      </w:r>
    </w:p>
  </w:endnote>
  <w:endnote w:type="continuationSeparator" w:id="0">
    <w:p w:rsidR="00700877" w:rsidRDefault="00700877" w:rsidP="00C45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IFranklinGothicBookCond">
    <w:altName w:val="Times New Roman"/>
    <w:charset w:val="00"/>
    <w:family w:val="auto"/>
    <w:pitch w:val="variable"/>
    <w:sig w:usb0="A00002AF" w:usb1="1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10A" w:rsidRDefault="0001710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877" w:rsidRDefault="00700877" w:rsidP="00C4500B">
      <w:r>
        <w:separator/>
      </w:r>
    </w:p>
  </w:footnote>
  <w:footnote w:type="continuationSeparator" w:id="0">
    <w:p w:rsidR="00700877" w:rsidRDefault="00700877" w:rsidP="00C450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542F"/>
    <w:multiLevelType w:val="hybridMultilevel"/>
    <w:tmpl w:val="5EC628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E3615"/>
    <w:multiLevelType w:val="hybridMultilevel"/>
    <w:tmpl w:val="EB6E67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CE7625"/>
    <w:multiLevelType w:val="hybridMultilevel"/>
    <w:tmpl w:val="2E1AF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A4B8B"/>
    <w:multiLevelType w:val="hybridMultilevel"/>
    <w:tmpl w:val="515EFA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C5B45"/>
    <w:multiLevelType w:val="hybridMultilevel"/>
    <w:tmpl w:val="4E8A5DA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8B278B"/>
    <w:multiLevelType w:val="hybridMultilevel"/>
    <w:tmpl w:val="85626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2449E8"/>
    <w:multiLevelType w:val="hybridMultilevel"/>
    <w:tmpl w:val="73586E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C6E6D"/>
    <w:multiLevelType w:val="hybridMultilevel"/>
    <w:tmpl w:val="219CCE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E72508"/>
    <w:multiLevelType w:val="hybridMultilevel"/>
    <w:tmpl w:val="C1265E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/>
  <w:rsids>
    <w:rsidRoot w:val="007463CE"/>
    <w:rsid w:val="0000591F"/>
    <w:rsid w:val="000059BD"/>
    <w:rsid w:val="00005FB9"/>
    <w:rsid w:val="000068A9"/>
    <w:rsid w:val="00010AE6"/>
    <w:rsid w:val="00010C6D"/>
    <w:rsid w:val="0001102A"/>
    <w:rsid w:val="00011F58"/>
    <w:rsid w:val="00012C3C"/>
    <w:rsid w:val="00012DB2"/>
    <w:rsid w:val="00013B9F"/>
    <w:rsid w:val="00014E17"/>
    <w:rsid w:val="0001710A"/>
    <w:rsid w:val="0002035A"/>
    <w:rsid w:val="000223D0"/>
    <w:rsid w:val="000249C5"/>
    <w:rsid w:val="000250FD"/>
    <w:rsid w:val="00031663"/>
    <w:rsid w:val="000324EB"/>
    <w:rsid w:val="00032BC7"/>
    <w:rsid w:val="00032E37"/>
    <w:rsid w:val="00033ADE"/>
    <w:rsid w:val="00034375"/>
    <w:rsid w:val="00040B67"/>
    <w:rsid w:val="00041703"/>
    <w:rsid w:val="000436CF"/>
    <w:rsid w:val="00046F0B"/>
    <w:rsid w:val="00047526"/>
    <w:rsid w:val="00051021"/>
    <w:rsid w:val="00051405"/>
    <w:rsid w:val="000539E8"/>
    <w:rsid w:val="00054678"/>
    <w:rsid w:val="0005524E"/>
    <w:rsid w:val="00056C8A"/>
    <w:rsid w:val="00056DD9"/>
    <w:rsid w:val="000600FF"/>
    <w:rsid w:val="000604F8"/>
    <w:rsid w:val="00061619"/>
    <w:rsid w:val="00065961"/>
    <w:rsid w:val="00067A26"/>
    <w:rsid w:val="00071A48"/>
    <w:rsid w:val="00072124"/>
    <w:rsid w:val="00073837"/>
    <w:rsid w:val="000741C5"/>
    <w:rsid w:val="00074EA7"/>
    <w:rsid w:val="0007533D"/>
    <w:rsid w:val="00076768"/>
    <w:rsid w:val="000771A2"/>
    <w:rsid w:val="00077B51"/>
    <w:rsid w:val="000801B2"/>
    <w:rsid w:val="00080476"/>
    <w:rsid w:val="00081643"/>
    <w:rsid w:val="00081887"/>
    <w:rsid w:val="00082724"/>
    <w:rsid w:val="000846B2"/>
    <w:rsid w:val="00087408"/>
    <w:rsid w:val="00090274"/>
    <w:rsid w:val="000906EE"/>
    <w:rsid w:val="00090882"/>
    <w:rsid w:val="00090A67"/>
    <w:rsid w:val="00090CB7"/>
    <w:rsid w:val="00091CBF"/>
    <w:rsid w:val="00093C5B"/>
    <w:rsid w:val="00093ECE"/>
    <w:rsid w:val="00094234"/>
    <w:rsid w:val="00094692"/>
    <w:rsid w:val="000A1F58"/>
    <w:rsid w:val="000A2DC1"/>
    <w:rsid w:val="000A3184"/>
    <w:rsid w:val="000A4F92"/>
    <w:rsid w:val="000A52EC"/>
    <w:rsid w:val="000A6498"/>
    <w:rsid w:val="000B0E76"/>
    <w:rsid w:val="000B0FD5"/>
    <w:rsid w:val="000B6046"/>
    <w:rsid w:val="000B7BB2"/>
    <w:rsid w:val="000C4ABE"/>
    <w:rsid w:val="000C4F96"/>
    <w:rsid w:val="000C5409"/>
    <w:rsid w:val="000C5C5E"/>
    <w:rsid w:val="000C6A69"/>
    <w:rsid w:val="000C7873"/>
    <w:rsid w:val="000D06E4"/>
    <w:rsid w:val="000D1498"/>
    <w:rsid w:val="000D3AB8"/>
    <w:rsid w:val="000D43B7"/>
    <w:rsid w:val="000D5CBA"/>
    <w:rsid w:val="000D5E45"/>
    <w:rsid w:val="000E03CA"/>
    <w:rsid w:val="000E0544"/>
    <w:rsid w:val="000E0931"/>
    <w:rsid w:val="000E35B8"/>
    <w:rsid w:val="000E5941"/>
    <w:rsid w:val="000E6EA1"/>
    <w:rsid w:val="000F0A62"/>
    <w:rsid w:val="000F1319"/>
    <w:rsid w:val="000F1C54"/>
    <w:rsid w:val="000F2A57"/>
    <w:rsid w:val="000F46E6"/>
    <w:rsid w:val="000F52A1"/>
    <w:rsid w:val="000F6222"/>
    <w:rsid w:val="000F7493"/>
    <w:rsid w:val="0010157D"/>
    <w:rsid w:val="00101C5C"/>
    <w:rsid w:val="0011038D"/>
    <w:rsid w:val="00111CF7"/>
    <w:rsid w:val="0011371C"/>
    <w:rsid w:val="00117942"/>
    <w:rsid w:val="00117BD7"/>
    <w:rsid w:val="00120E6A"/>
    <w:rsid w:val="00121F6E"/>
    <w:rsid w:val="00123931"/>
    <w:rsid w:val="0012568C"/>
    <w:rsid w:val="00126BE6"/>
    <w:rsid w:val="00127AFF"/>
    <w:rsid w:val="00133C06"/>
    <w:rsid w:val="00135169"/>
    <w:rsid w:val="00136523"/>
    <w:rsid w:val="0013729B"/>
    <w:rsid w:val="00137C3E"/>
    <w:rsid w:val="00140E6B"/>
    <w:rsid w:val="00142873"/>
    <w:rsid w:val="00142C78"/>
    <w:rsid w:val="00143E06"/>
    <w:rsid w:val="00144934"/>
    <w:rsid w:val="00146349"/>
    <w:rsid w:val="00152373"/>
    <w:rsid w:val="00155D8C"/>
    <w:rsid w:val="00156DCA"/>
    <w:rsid w:val="00163DE3"/>
    <w:rsid w:val="001642F4"/>
    <w:rsid w:val="00164F40"/>
    <w:rsid w:val="00166313"/>
    <w:rsid w:val="00167393"/>
    <w:rsid w:val="0016787E"/>
    <w:rsid w:val="0017096D"/>
    <w:rsid w:val="00171D06"/>
    <w:rsid w:val="00172238"/>
    <w:rsid w:val="001735BF"/>
    <w:rsid w:val="00174047"/>
    <w:rsid w:val="0017549C"/>
    <w:rsid w:val="00175FD8"/>
    <w:rsid w:val="001812FB"/>
    <w:rsid w:val="00183321"/>
    <w:rsid w:val="00183BE3"/>
    <w:rsid w:val="00184B72"/>
    <w:rsid w:val="00186AE7"/>
    <w:rsid w:val="00186EE3"/>
    <w:rsid w:val="0019040E"/>
    <w:rsid w:val="00190AFC"/>
    <w:rsid w:val="001957C9"/>
    <w:rsid w:val="00196D24"/>
    <w:rsid w:val="00196E96"/>
    <w:rsid w:val="001A1A7B"/>
    <w:rsid w:val="001A31B6"/>
    <w:rsid w:val="001A3238"/>
    <w:rsid w:val="001A3B38"/>
    <w:rsid w:val="001A4253"/>
    <w:rsid w:val="001A4710"/>
    <w:rsid w:val="001A5AA9"/>
    <w:rsid w:val="001B08C7"/>
    <w:rsid w:val="001B0C55"/>
    <w:rsid w:val="001B26B0"/>
    <w:rsid w:val="001B28F5"/>
    <w:rsid w:val="001B2D28"/>
    <w:rsid w:val="001B52B0"/>
    <w:rsid w:val="001B72E1"/>
    <w:rsid w:val="001C1ABF"/>
    <w:rsid w:val="001C1C55"/>
    <w:rsid w:val="001C32AB"/>
    <w:rsid w:val="001C3C78"/>
    <w:rsid w:val="001C5CB0"/>
    <w:rsid w:val="001D139D"/>
    <w:rsid w:val="001D1CB5"/>
    <w:rsid w:val="001D2AF0"/>
    <w:rsid w:val="001D674D"/>
    <w:rsid w:val="001D72EF"/>
    <w:rsid w:val="001D781C"/>
    <w:rsid w:val="001E1798"/>
    <w:rsid w:val="001E1B8D"/>
    <w:rsid w:val="001E319F"/>
    <w:rsid w:val="001E392B"/>
    <w:rsid w:val="001E49BA"/>
    <w:rsid w:val="001E6EDA"/>
    <w:rsid w:val="001E7283"/>
    <w:rsid w:val="001E775C"/>
    <w:rsid w:val="001F04D1"/>
    <w:rsid w:val="001F18D8"/>
    <w:rsid w:val="001F2A61"/>
    <w:rsid w:val="001F2F8E"/>
    <w:rsid w:val="001F3A86"/>
    <w:rsid w:val="001F3C6E"/>
    <w:rsid w:val="001F3F1C"/>
    <w:rsid w:val="001F4E47"/>
    <w:rsid w:val="001F4FBE"/>
    <w:rsid w:val="001F5604"/>
    <w:rsid w:val="001F57A0"/>
    <w:rsid w:val="001F66D7"/>
    <w:rsid w:val="001F67D5"/>
    <w:rsid w:val="001F7218"/>
    <w:rsid w:val="00200075"/>
    <w:rsid w:val="0020158B"/>
    <w:rsid w:val="00201DD3"/>
    <w:rsid w:val="002163F5"/>
    <w:rsid w:val="00216941"/>
    <w:rsid w:val="00220447"/>
    <w:rsid w:val="00220805"/>
    <w:rsid w:val="002209C6"/>
    <w:rsid w:val="00221A5C"/>
    <w:rsid w:val="00226C17"/>
    <w:rsid w:val="002271A2"/>
    <w:rsid w:val="00231601"/>
    <w:rsid w:val="0023339B"/>
    <w:rsid w:val="002336F4"/>
    <w:rsid w:val="0023396A"/>
    <w:rsid w:val="00234D8D"/>
    <w:rsid w:val="00240C80"/>
    <w:rsid w:val="00242A01"/>
    <w:rsid w:val="00242BDF"/>
    <w:rsid w:val="0024344A"/>
    <w:rsid w:val="00247E6B"/>
    <w:rsid w:val="00250490"/>
    <w:rsid w:val="00251E5F"/>
    <w:rsid w:val="00252D4B"/>
    <w:rsid w:val="00254937"/>
    <w:rsid w:val="0025533A"/>
    <w:rsid w:val="002563A1"/>
    <w:rsid w:val="00256B5C"/>
    <w:rsid w:val="00260A1B"/>
    <w:rsid w:val="00261AAB"/>
    <w:rsid w:val="0026467D"/>
    <w:rsid w:val="002648FA"/>
    <w:rsid w:val="00265AEE"/>
    <w:rsid w:val="0026624D"/>
    <w:rsid w:val="00267AE5"/>
    <w:rsid w:val="00270E18"/>
    <w:rsid w:val="0027348B"/>
    <w:rsid w:val="00274164"/>
    <w:rsid w:val="00274BD4"/>
    <w:rsid w:val="00276D93"/>
    <w:rsid w:val="00277C49"/>
    <w:rsid w:val="00280E26"/>
    <w:rsid w:val="00281747"/>
    <w:rsid w:val="0028414E"/>
    <w:rsid w:val="002845AF"/>
    <w:rsid w:val="0028494C"/>
    <w:rsid w:val="00286567"/>
    <w:rsid w:val="00291022"/>
    <w:rsid w:val="0029235B"/>
    <w:rsid w:val="00292FD6"/>
    <w:rsid w:val="00296814"/>
    <w:rsid w:val="00297801"/>
    <w:rsid w:val="002A0B0B"/>
    <w:rsid w:val="002A2CF6"/>
    <w:rsid w:val="002A2D70"/>
    <w:rsid w:val="002A2E28"/>
    <w:rsid w:val="002A30E5"/>
    <w:rsid w:val="002A4E01"/>
    <w:rsid w:val="002A5E1F"/>
    <w:rsid w:val="002A71A2"/>
    <w:rsid w:val="002B094E"/>
    <w:rsid w:val="002B38E4"/>
    <w:rsid w:val="002B461D"/>
    <w:rsid w:val="002B53EE"/>
    <w:rsid w:val="002B60C5"/>
    <w:rsid w:val="002B6B3A"/>
    <w:rsid w:val="002B7C97"/>
    <w:rsid w:val="002C12FE"/>
    <w:rsid w:val="002C2028"/>
    <w:rsid w:val="002C5239"/>
    <w:rsid w:val="002C531A"/>
    <w:rsid w:val="002C567B"/>
    <w:rsid w:val="002C6E64"/>
    <w:rsid w:val="002D095D"/>
    <w:rsid w:val="002D09A5"/>
    <w:rsid w:val="002D3D6B"/>
    <w:rsid w:val="002D44B9"/>
    <w:rsid w:val="002D45C7"/>
    <w:rsid w:val="002D4A09"/>
    <w:rsid w:val="002D785E"/>
    <w:rsid w:val="002D7D35"/>
    <w:rsid w:val="002E010C"/>
    <w:rsid w:val="002E4FC4"/>
    <w:rsid w:val="002F0994"/>
    <w:rsid w:val="002F1285"/>
    <w:rsid w:val="002F1471"/>
    <w:rsid w:val="002F2E24"/>
    <w:rsid w:val="002F507F"/>
    <w:rsid w:val="002F5356"/>
    <w:rsid w:val="002F54E5"/>
    <w:rsid w:val="002F712A"/>
    <w:rsid w:val="003007A6"/>
    <w:rsid w:val="00300C49"/>
    <w:rsid w:val="00302998"/>
    <w:rsid w:val="00302E07"/>
    <w:rsid w:val="00302E43"/>
    <w:rsid w:val="00303335"/>
    <w:rsid w:val="003038F5"/>
    <w:rsid w:val="00303E8E"/>
    <w:rsid w:val="00305144"/>
    <w:rsid w:val="003122BA"/>
    <w:rsid w:val="00312470"/>
    <w:rsid w:val="0031502C"/>
    <w:rsid w:val="00316055"/>
    <w:rsid w:val="00317C02"/>
    <w:rsid w:val="00321AC2"/>
    <w:rsid w:val="003239CC"/>
    <w:rsid w:val="003254EC"/>
    <w:rsid w:val="00327839"/>
    <w:rsid w:val="00335852"/>
    <w:rsid w:val="003370E6"/>
    <w:rsid w:val="00337449"/>
    <w:rsid w:val="00337A29"/>
    <w:rsid w:val="00337DE1"/>
    <w:rsid w:val="00341AF7"/>
    <w:rsid w:val="003444BF"/>
    <w:rsid w:val="0034501A"/>
    <w:rsid w:val="00346746"/>
    <w:rsid w:val="00351F13"/>
    <w:rsid w:val="0035398C"/>
    <w:rsid w:val="00353D7B"/>
    <w:rsid w:val="0035564D"/>
    <w:rsid w:val="00356261"/>
    <w:rsid w:val="0036025E"/>
    <w:rsid w:val="00360AB7"/>
    <w:rsid w:val="0036193C"/>
    <w:rsid w:val="0036206F"/>
    <w:rsid w:val="00363D11"/>
    <w:rsid w:val="0036536F"/>
    <w:rsid w:val="00366EED"/>
    <w:rsid w:val="003674E2"/>
    <w:rsid w:val="00370815"/>
    <w:rsid w:val="00371160"/>
    <w:rsid w:val="00371237"/>
    <w:rsid w:val="00373504"/>
    <w:rsid w:val="00375895"/>
    <w:rsid w:val="003818D5"/>
    <w:rsid w:val="0038216D"/>
    <w:rsid w:val="00382357"/>
    <w:rsid w:val="0038649B"/>
    <w:rsid w:val="003867BF"/>
    <w:rsid w:val="00391117"/>
    <w:rsid w:val="003926F8"/>
    <w:rsid w:val="00392E3D"/>
    <w:rsid w:val="00394381"/>
    <w:rsid w:val="003943DD"/>
    <w:rsid w:val="003950AD"/>
    <w:rsid w:val="00397364"/>
    <w:rsid w:val="00397765"/>
    <w:rsid w:val="00397F6C"/>
    <w:rsid w:val="003A1870"/>
    <w:rsid w:val="003A2DAB"/>
    <w:rsid w:val="003A2DDB"/>
    <w:rsid w:val="003A2E14"/>
    <w:rsid w:val="003A6427"/>
    <w:rsid w:val="003B06D1"/>
    <w:rsid w:val="003B1B54"/>
    <w:rsid w:val="003B1ECA"/>
    <w:rsid w:val="003B212C"/>
    <w:rsid w:val="003B4A66"/>
    <w:rsid w:val="003B4D61"/>
    <w:rsid w:val="003B5C99"/>
    <w:rsid w:val="003B61CF"/>
    <w:rsid w:val="003B6552"/>
    <w:rsid w:val="003B6B36"/>
    <w:rsid w:val="003B6F71"/>
    <w:rsid w:val="003C0B66"/>
    <w:rsid w:val="003C2839"/>
    <w:rsid w:val="003C2DB4"/>
    <w:rsid w:val="003C45F7"/>
    <w:rsid w:val="003C5686"/>
    <w:rsid w:val="003D363C"/>
    <w:rsid w:val="003D491E"/>
    <w:rsid w:val="003D4C2B"/>
    <w:rsid w:val="003D5140"/>
    <w:rsid w:val="003D5451"/>
    <w:rsid w:val="003D77DA"/>
    <w:rsid w:val="003E0F60"/>
    <w:rsid w:val="003E14E1"/>
    <w:rsid w:val="003E3755"/>
    <w:rsid w:val="003E3F4E"/>
    <w:rsid w:val="003E4CE2"/>
    <w:rsid w:val="003E6B55"/>
    <w:rsid w:val="003E7E03"/>
    <w:rsid w:val="003E7F62"/>
    <w:rsid w:val="003F0ECE"/>
    <w:rsid w:val="003F164B"/>
    <w:rsid w:val="003F33E7"/>
    <w:rsid w:val="003F4392"/>
    <w:rsid w:val="003F5124"/>
    <w:rsid w:val="004007BD"/>
    <w:rsid w:val="004023E6"/>
    <w:rsid w:val="0040540E"/>
    <w:rsid w:val="00406572"/>
    <w:rsid w:val="00407EBE"/>
    <w:rsid w:val="00411937"/>
    <w:rsid w:val="00412D9D"/>
    <w:rsid w:val="004137C3"/>
    <w:rsid w:val="00413FC7"/>
    <w:rsid w:val="00415DA0"/>
    <w:rsid w:val="00416759"/>
    <w:rsid w:val="00417263"/>
    <w:rsid w:val="004212C3"/>
    <w:rsid w:val="00421B14"/>
    <w:rsid w:val="0042295D"/>
    <w:rsid w:val="004241F0"/>
    <w:rsid w:val="00424278"/>
    <w:rsid w:val="00431143"/>
    <w:rsid w:val="0043171D"/>
    <w:rsid w:val="00432A7E"/>
    <w:rsid w:val="00432E31"/>
    <w:rsid w:val="00434BC6"/>
    <w:rsid w:val="00437E40"/>
    <w:rsid w:val="0044264E"/>
    <w:rsid w:val="0044294C"/>
    <w:rsid w:val="00445E0E"/>
    <w:rsid w:val="004468E0"/>
    <w:rsid w:val="00446FCA"/>
    <w:rsid w:val="004515CE"/>
    <w:rsid w:val="004518D1"/>
    <w:rsid w:val="00451E88"/>
    <w:rsid w:val="0045489B"/>
    <w:rsid w:val="00454EBB"/>
    <w:rsid w:val="0045581F"/>
    <w:rsid w:val="0046045E"/>
    <w:rsid w:val="00460BEC"/>
    <w:rsid w:val="0046107B"/>
    <w:rsid w:val="004614B4"/>
    <w:rsid w:val="004623E1"/>
    <w:rsid w:val="004630C9"/>
    <w:rsid w:val="00464B21"/>
    <w:rsid w:val="00465A03"/>
    <w:rsid w:val="00470048"/>
    <w:rsid w:val="004716B5"/>
    <w:rsid w:val="00471FBD"/>
    <w:rsid w:val="004744E4"/>
    <w:rsid w:val="00475C44"/>
    <w:rsid w:val="004820AB"/>
    <w:rsid w:val="0048282F"/>
    <w:rsid w:val="00482DAF"/>
    <w:rsid w:val="004A2277"/>
    <w:rsid w:val="004A2CF2"/>
    <w:rsid w:val="004A341F"/>
    <w:rsid w:val="004A3D32"/>
    <w:rsid w:val="004A5E0B"/>
    <w:rsid w:val="004A6D73"/>
    <w:rsid w:val="004A7D3C"/>
    <w:rsid w:val="004B0580"/>
    <w:rsid w:val="004B0A20"/>
    <w:rsid w:val="004B2162"/>
    <w:rsid w:val="004B2906"/>
    <w:rsid w:val="004B71E6"/>
    <w:rsid w:val="004C0B7A"/>
    <w:rsid w:val="004C0D01"/>
    <w:rsid w:val="004C0DD9"/>
    <w:rsid w:val="004C3C57"/>
    <w:rsid w:val="004C5672"/>
    <w:rsid w:val="004C607B"/>
    <w:rsid w:val="004C679D"/>
    <w:rsid w:val="004C69F1"/>
    <w:rsid w:val="004C7AC6"/>
    <w:rsid w:val="004D2ECA"/>
    <w:rsid w:val="004D3837"/>
    <w:rsid w:val="004D39D0"/>
    <w:rsid w:val="004D5103"/>
    <w:rsid w:val="004D64B2"/>
    <w:rsid w:val="004D7540"/>
    <w:rsid w:val="004E056A"/>
    <w:rsid w:val="004E147F"/>
    <w:rsid w:val="004E2D34"/>
    <w:rsid w:val="004E3D20"/>
    <w:rsid w:val="004E3DB2"/>
    <w:rsid w:val="004E6043"/>
    <w:rsid w:val="004E6AEC"/>
    <w:rsid w:val="004E71A0"/>
    <w:rsid w:val="004E78F5"/>
    <w:rsid w:val="004E7D02"/>
    <w:rsid w:val="004F0B15"/>
    <w:rsid w:val="004F0F98"/>
    <w:rsid w:val="004F1E13"/>
    <w:rsid w:val="004F28F6"/>
    <w:rsid w:val="004F404C"/>
    <w:rsid w:val="004F4BAA"/>
    <w:rsid w:val="004F7878"/>
    <w:rsid w:val="00501286"/>
    <w:rsid w:val="0050279E"/>
    <w:rsid w:val="00503728"/>
    <w:rsid w:val="005070D3"/>
    <w:rsid w:val="0051018B"/>
    <w:rsid w:val="00510B00"/>
    <w:rsid w:val="00510ED1"/>
    <w:rsid w:val="005156B0"/>
    <w:rsid w:val="00520B28"/>
    <w:rsid w:val="005235EF"/>
    <w:rsid w:val="0052569E"/>
    <w:rsid w:val="005262B8"/>
    <w:rsid w:val="00526F81"/>
    <w:rsid w:val="00527762"/>
    <w:rsid w:val="00527C90"/>
    <w:rsid w:val="00531843"/>
    <w:rsid w:val="00532A4E"/>
    <w:rsid w:val="00533FFF"/>
    <w:rsid w:val="00534B9A"/>
    <w:rsid w:val="005361B6"/>
    <w:rsid w:val="00537877"/>
    <w:rsid w:val="005409D4"/>
    <w:rsid w:val="00540D31"/>
    <w:rsid w:val="0054131F"/>
    <w:rsid w:val="0054379C"/>
    <w:rsid w:val="00543B92"/>
    <w:rsid w:val="00543E06"/>
    <w:rsid w:val="00544002"/>
    <w:rsid w:val="00544CDA"/>
    <w:rsid w:val="0054557A"/>
    <w:rsid w:val="005459EB"/>
    <w:rsid w:val="00546288"/>
    <w:rsid w:val="005467A6"/>
    <w:rsid w:val="00547214"/>
    <w:rsid w:val="00550171"/>
    <w:rsid w:val="005514C1"/>
    <w:rsid w:val="00551A29"/>
    <w:rsid w:val="00552920"/>
    <w:rsid w:val="00553F8F"/>
    <w:rsid w:val="00554F86"/>
    <w:rsid w:val="00557732"/>
    <w:rsid w:val="00560EE5"/>
    <w:rsid w:val="0056299A"/>
    <w:rsid w:val="00565B2F"/>
    <w:rsid w:val="0056699E"/>
    <w:rsid w:val="0056724D"/>
    <w:rsid w:val="00567AD5"/>
    <w:rsid w:val="0057279F"/>
    <w:rsid w:val="00572FAD"/>
    <w:rsid w:val="0057681F"/>
    <w:rsid w:val="00577628"/>
    <w:rsid w:val="00577929"/>
    <w:rsid w:val="00580A7F"/>
    <w:rsid w:val="00581111"/>
    <w:rsid w:val="00581971"/>
    <w:rsid w:val="005842C4"/>
    <w:rsid w:val="00584302"/>
    <w:rsid w:val="00584D11"/>
    <w:rsid w:val="00585924"/>
    <w:rsid w:val="00586D50"/>
    <w:rsid w:val="005914C4"/>
    <w:rsid w:val="00594734"/>
    <w:rsid w:val="00595CB5"/>
    <w:rsid w:val="00595F5D"/>
    <w:rsid w:val="005A07AC"/>
    <w:rsid w:val="005A23FA"/>
    <w:rsid w:val="005A4313"/>
    <w:rsid w:val="005A4830"/>
    <w:rsid w:val="005B08AA"/>
    <w:rsid w:val="005B1D1D"/>
    <w:rsid w:val="005B3AC2"/>
    <w:rsid w:val="005B4073"/>
    <w:rsid w:val="005B6C94"/>
    <w:rsid w:val="005B735E"/>
    <w:rsid w:val="005C165A"/>
    <w:rsid w:val="005C27EA"/>
    <w:rsid w:val="005C2F21"/>
    <w:rsid w:val="005C407D"/>
    <w:rsid w:val="005C418D"/>
    <w:rsid w:val="005C75C5"/>
    <w:rsid w:val="005D2B93"/>
    <w:rsid w:val="005D380A"/>
    <w:rsid w:val="005D4F5D"/>
    <w:rsid w:val="005D5E16"/>
    <w:rsid w:val="005D5FEB"/>
    <w:rsid w:val="005D6B6A"/>
    <w:rsid w:val="005E133A"/>
    <w:rsid w:val="005E3164"/>
    <w:rsid w:val="005E42E1"/>
    <w:rsid w:val="005E4F20"/>
    <w:rsid w:val="005E6284"/>
    <w:rsid w:val="005F24D8"/>
    <w:rsid w:val="005F39DE"/>
    <w:rsid w:val="005F4763"/>
    <w:rsid w:val="005F4D55"/>
    <w:rsid w:val="005F5DFD"/>
    <w:rsid w:val="005F7DE9"/>
    <w:rsid w:val="00601F37"/>
    <w:rsid w:val="00602F76"/>
    <w:rsid w:val="006034CD"/>
    <w:rsid w:val="006064E2"/>
    <w:rsid w:val="00606FAC"/>
    <w:rsid w:val="00607984"/>
    <w:rsid w:val="00613E20"/>
    <w:rsid w:val="0061488E"/>
    <w:rsid w:val="006148B6"/>
    <w:rsid w:val="00614BED"/>
    <w:rsid w:val="00616DCB"/>
    <w:rsid w:val="00621A7F"/>
    <w:rsid w:val="00622DA6"/>
    <w:rsid w:val="006231D3"/>
    <w:rsid w:val="006237F1"/>
    <w:rsid w:val="0062434E"/>
    <w:rsid w:val="0062489C"/>
    <w:rsid w:val="006273E6"/>
    <w:rsid w:val="0063033D"/>
    <w:rsid w:val="00630686"/>
    <w:rsid w:val="006312F5"/>
    <w:rsid w:val="00631F11"/>
    <w:rsid w:val="00632128"/>
    <w:rsid w:val="0063229E"/>
    <w:rsid w:val="00632F39"/>
    <w:rsid w:val="00635F84"/>
    <w:rsid w:val="00642878"/>
    <w:rsid w:val="00644303"/>
    <w:rsid w:val="006444F7"/>
    <w:rsid w:val="00645492"/>
    <w:rsid w:val="00646836"/>
    <w:rsid w:val="00646A1E"/>
    <w:rsid w:val="006523ED"/>
    <w:rsid w:val="006528E5"/>
    <w:rsid w:val="0065663C"/>
    <w:rsid w:val="00657185"/>
    <w:rsid w:val="00657446"/>
    <w:rsid w:val="006627B1"/>
    <w:rsid w:val="00663290"/>
    <w:rsid w:val="006632DF"/>
    <w:rsid w:val="00663B1B"/>
    <w:rsid w:val="006642BD"/>
    <w:rsid w:val="006661ED"/>
    <w:rsid w:val="00667173"/>
    <w:rsid w:val="006677C6"/>
    <w:rsid w:val="00670777"/>
    <w:rsid w:val="0067096A"/>
    <w:rsid w:val="00672564"/>
    <w:rsid w:val="00673B8F"/>
    <w:rsid w:val="00673E30"/>
    <w:rsid w:val="00674D70"/>
    <w:rsid w:val="006752E9"/>
    <w:rsid w:val="006767A2"/>
    <w:rsid w:val="00676E42"/>
    <w:rsid w:val="00677309"/>
    <w:rsid w:val="00680688"/>
    <w:rsid w:val="00681AE6"/>
    <w:rsid w:val="00683785"/>
    <w:rsid w:val="006837D2"/>
    <w:rsid w:val="00685999"/>
    <w:rsid w:val="00690A6E"/>
    <w:rsid w:val="006923AC"/>
    <w:rsid w:val="00694441"/>
    <w:rsid w:val="00694D42"/>
    <w:rsid w:val="00696A6B"/>
    <w:rsid w:val="00696DEB"/>
    <w:rsid w:val="006A1816"/>
    <w:rsid w:val="006A1AF8"/>
    <w:rsid w:val="006A1EBD"/>
    <w:rsid w:val="006A6361"/>
    <w:rsid w:val="006B0A86"/>
    <w:rsid w:val="006B105C"/>
    <w:rsid w:val="006B1646"/>
    <w:rsid w:val="006B19F3"/>
    <w:rsid w:val="006B1D89"/>
    <w:rsid w:val="006B4C4E"/>
    <w:rsid w:val="006B589B"/>
    <w:rsid w:val="006B5E9D"/>
    <w:rsid w:val="006B6952"/>
    <w:rsid w:val="006B72D9"/>
    <w:rsid w:val="006C08F8"/>
    <w:rsid w:val="006C139A"/>
    <w:rsid w:val="006C19D7"/>
    <w:rsid w:val="006C1CD8"/>
    <w:rsid w:val="006C3E2D"/>
    <w:rsid w:val="006C5379"/>
    <w:rsid w:val="006C6B26"/>
    <w:rsid w:val="006C7BF0"/>
    <w:rsid w:val="006C7D5C"/>
    <w:rsid w:val="006D08FC"/>
    <w:rsid w:val="006D2277"/>
    <w:rsid w:val="006D3D94"/>
    <w:rsid w:val="006D5257"/>
    <w:rsid w:val="006D73BD"/>
    <w:rsid w:val="006F0BD6"/>
    <w:rsid w:val="006F1145"/>
    <w:rsid w:val="006F21A2"/>
    <w:rsid w:val="006F21A5"/>
    <w:rsid w:val="006F3920"/>
    <w:rsid w:val="006F41CC"/>
    <w:rsid w:val="006F41EB"/>
    <w:rsid w:val="006F6C1C"/>
    <w:rsid w:val="006F6F7E"/>
    <w:rsid w:val="006F7914"/>
    <w:rsid w:val="00700877"/>
    <w:rsid w:val="00700D0D"/>
    <w:rsid w:val="00701D66"/>
    <w:rsid w:val="00705B6D"/>
    <w:rsid w:val="00705F3A"/>
    <w:rsid w:val="00705F69"/>
    <w:rsid w:val="00705FE3"/>
    <w:rsid w:val="007128D4"/>
    <w:rsid w:val="00713C6D"/>
    <w:rsid w:val="00714770"/>
    <w:rsid w:val="0071554C"/>
    <w:rsid w:val="007156B2"/>
    <w:rsid w:val="00722453"/>
    <w:rsid w:val="0072752A"/>
    <w:rsid w:val="00727760"/>
    <w:rsid w:val="00727CBE"/>
    <w:rsid w:val="00730889"/>
    <w:rsid w:val="00730AAE"/>
    <w:rsid w:val="00732964"/>
    <w:rsid w:val="007332E7"/>
    <w:rsid w:val="007352EB"/>
    <w:rsid w:val="00736A16"/>
    <w:rsid w:val="00736DF6"/>
    <w:rsid w:val="00736EA0"/>
    <w:rsid w:val="00740F13"/>
    <w:rsid w:val="00743D4C"/>
    <w:rsid w:val="00745B2F"/>
    <w:rsid w:val="007463CE"/>
    <w:rsid w:val="0074738F"/>
    <w:rsid w:val="007475CD"/>
    <w:rsid w:val="0075197E"/>
    <w:rsid w:val="00752689"/>
    <w:rsid w:val="0075418C"/>
    <w:rsid w:val="00755E9D"/>
    <w:rsid w:val="00756FD0"/>
    <w:rsid w:val="00760D34"/>
    <w:rsid w:val="00760DFF"/>
    <w:rsid w:val="0076154B"/>
    <w:rsid w:val="00761EE0"/>
    <w:rsid w:val="00764163"/>
    <w:rsid w:val="007711E6"/>
    <w:rsid w:val="00771679"/>
    <w:rsid w:val="00771ADC"/>
    <w:rsid w:val="0077357B"/>
    <w:rsid w:val="00773585"/>
    <w:rsid w:val="00773CD0"/>
    <w:rsid w:val="007766EE"/>
    <w:rsid w:val="00777FE8"/>
    <w:rsid w:val="00780CAF"/>
    <w:rsid w:val="00781191"/>
    <w:rsid w:val="00782322"/>
    <w:rsid w:val="007845DF"/>
    <w:rsid w:val="00784A64"/>
    <w:rsid w:val="00784AF0"/>
    <w:rsid w:val="00785547"/>
    <w:rsid w:val="00790196"/>
    <w:rsid w:val="0079019C"/>
    <w:rsid w:val="00792769"/>
    <w:rsid w:val="007930BC"/>
    <w:rsid w:val="0079327C"/>
    <w:rsid w:val="007933E7"/>
    <w:rsid w:val="00793899"/>
    <w:rsid w:val="00795D62"/>
    <w:rsid w:val="00795F36"/>
    <w:rsid w:val="00796B40"/>
    <w:rsid w:val="00797A34"/>
    <w:rsid w:val="00797D81"/>
    <w:rsid w:val="007A0EA1"/>
    <w:rsid w:val="007A2275"/>
    <w:rsid w:val="007A27D6"/>
    <w:rsid w:val="007A4CF8"/>
    <w:rsid w:val="007A5A16"/>
    <w:rsid w:val="007A6340"/>
    <w:rsid w:val="007A6DE8"/>
    <w:rsid w:val="007A7AC1"/>
    <w:rsid w:val="007A7F4E"/>
    <w:rsid w:val="007B2137"/>
    <w:rsid w:val="007B4249"/>
    <w:rsid w:val="007B5C84"/>
    <w:rsid w:val="007B6B40"/>
    <w:rsid w:val="007C0A09"/>
    <w:rsid w:val="007C2462"/>
    <w:rsid w:val="007C312C"/>
    <w:rsid w:val="007C333A"/>
    <w:rsid w:val="007C631F"/>
    <w:rsid w:val="007C7D05"/>
    <w:rsid w:val="007D1148"/>
    <w:rsid w:val="007D1992"/>
    <w:rsid w:val="007D1DF4"/>
    <w:rsid w:val="007D4F06"/>
    <w:rsid w:val="007D536C"/>
    <w:rsid w:val="007D6345"/>
    <w:rsid w:val="007D6670"/>
    <w:rsid w:val="007D7060"/>
    <w:rsid w:val="007D772E"/>
    <w:rsid w:val="007D7E84"/>
    <w:rsid w:val="007E02D2"/>
    <w:rsid w:val="007E1236"/>
    <w:rsid w:val="007E2739"/>
    <w:rsid w:val="007E36D7"/>
    <w:rsid w:val="007E3826"/>
    <w:rsid w:val="007E4A2D"/>
    <w:rsid w:val="007F152E"/>
    <w:rsid w:val="007F451F"/>
    <w:rsid w:val="007F5229"/>
    <w:rsid w:val="007F64FA"/>
    <w:rsid w:val="007F7A29"/>
    <w:rsid w:val="0080194D"/>
    <w:rsid w:val="008024AA"/>
    <w:rsid w:val="00802CF8"/>
    <w:rsid w:val="0080630A"/>
    <w:rsid w:val="0080753E"/>
    <w:rsid w:val="0081132A"/>
    <w:rsid w:val="00812844"/>
    <w:rsid w:val="00813824"/>
    <w:rsid w:val="00814804"/>
    <w:rsid w:val="00815497"/>
    <w:rsid w:val="00816AA4"/>
    <w:rsid w:val="0082265B"/>
    <w:rsid w:val="0082276E"/>
    <w:rsid w:val="00823530"/>
    <w:rsid w:val="00824C06"/>
    <w:rsid w:val="00825E8A"/>
    <w:rsid w:val="00827C2E"/>
    <w:rsid w:val="008309C0"/>
    <w:rsid w:val="00831932"/>
    <w:rsid w:val="0083298D"/>
    <w:rsid w:val="00833889"/>
    <w:rsid w:val="00834528"/>
    <w:rsid w:val="008350CA"/>
    <w:rsid w:val="00836192"/>
    <w:rsid w:val="008374CD"/>
    <w:rsid w:val="008400C8"/>
    <w:rsid w:val="008400D2"/>
    <w:rsid w:val="0084148B"/>
    <w:rsid w:val="008418CB"/>
    <w:rsid w:val="00844C21"/>
    <w:rsid w:val="00846A13"/>
    <w:rsid w:val="008504C3"/>
    <w:rsid w:val="00850E69"/>
    <w:rsid w:val="00852D63"/>
    <w:rsid w:val="008548A4"/>
    <w:rsid w:val="00855437"/>
    <w:rsid w:val="00857B68"/>
    <w:rsid w:val="008602FA"/>
    <w:rsid w:val="008618B6"/>
    <w:rsid w:val="00862A49"/>
    <w:rsid w:val="00862B07"/>
    <w:rsid w:val="00862EF8"/>
    <w:rsid w:val="00864CA8"/>
    <w:rsid w:val="0086546C"/>
    <w:rsid w:val="00866037"/>
    <w:rsid w:val="0087040D"/>
    <w:rsid w:val="00870435"/>
    <w:rsid w:val="008704F2"/>
    <w:rsid w:val="008709AC"/>
    <w:rsid w:val="00872B80"/>
    <w:rsid w:val="0087362E"/>
    <w:rsid w:val="008748E0"/>
    <w:rsid w:val="00880B2A"/>
    <w:rsid w:val="008822B4"/>
    <w:rsid w:val="0088311C"/>
    <w:rsid w:val="00883623"/>
    <w:rsid w:val="00884AED"/>
    <w:rsid w:val="00884F15"/>
    <w:rsid w:val="0088780B"/>
    <w:rsid w:val="0089231D"/>
    <w:rsid w:val="00895991"/>
    <w:rsid w:val="008A2412"/>
    <w:rsid w:val="008A24EE"/>
    <w:rsid w:val="008A3818"/>
    <w:rsid w:val="008A4540"/>
    <w:rsid w:val="008A5519"/>
    <w:rsid w:val="008A5BF2"/>
    <w:rsid w:val="008A6F0A"/>
    <w:rsid w:val="008B0C09"/>
    <w:rsid w:val="008B14D7"/>
    <w:rsid w:val="008B2D50"/>
    <w:rsid w:val="008B3890"/>
    <w:rsid w:val="008B3C3F"/>
    <w:rsid w:val="008B49F9"/>
    <w:rsid w:val="008B65FB"/>
    <w:rsid w:val="008B6618"/>
    <w:rsid w:val="008C0D15"/>
    <w:rsid w:val="008C2C32"/>
    <w:rsid w:val="008C4841"/>
    <w:rsid w:val="008C5ED1"/>
    <w:rsid w:val="008C6B80"/>
    <w:rsid w:val="008C7233"/>
    <w:rsid w:val="008D21E9"/>
    <w:rsid w:val="008D3EBB"/>
    <w:rsid w:val="008D4BDC"/>
    <w:rsid w:val="008D5916"/>
    <w:rsid w:val="008D7BCB"/>
    <w:rsid w:val="008E19DA"/>
    <w:rsid w:val="008E1AA9"/>
    <w:rsid w:val="008E3B23"/>
    <w:rsid w:val="008E3CBF"/>
    <w:rsid w:val="008E3EBE"/>
    <w:rsid w:val="008E45E0"/>
    <w:rsid w:val="008E4686"/>
    <w:rsid w:val="008E6648"/>
    <w:rsid w:val="008E7E72"/>
    <w:rsid w:val="008F0D20"/>
    <w:rsid w:val="008F1472"/>
    <w:rsid w:val="008F6173"/>
    <w:rsid w:val="008F68DC"/>
    <w:rsid w:val="008F6F2B"/>
    <w:rsid w:val="00902959"/>
    <w:rsid w:val="00902E0E"/>
    <w:rsid w:val="00902EDC"/>
    <w:rsid w:val="009034C1"/>
    <w:rsid w:val="00907B80"/>
    <w:rsid w:val="00912D75"/>
    <w:rsid w:val="0091330D"/>
    <w:rsid w:val="009151E9"/>
    <w:rsid w:val="00916459"/>
    <w:rsid w:val="009170DD"/>
    <w:rsid w:val="009172C7"/>
    <w:rsid w:val="009175DB"/>
    <w:rsid w:val="00920440"/>
    <w:rsid w:val="00922487"/>
    <w:rsid w:val="00924F62"/>
    <w:rsid w:val="00925919"/>
    <w:rsid w:val="009307FD"/>
    <w:rsid w:val="009335A6"/>
    <w:rsid w:val="00933B9B"/>
    <w:rsid w:val="00937356"/>
    <w:rsid w:val="00942169"/>
    <w:rsid w:val="00942AF0"/>
    <w:rsid w:val="0094365F"/>
    <w:rsid w:val="00943948"/>
    <w:rsid w:val="00946AAF"/>
    <w:rsid w:val="009515F8"/>
    <w:rsid w:val="009526BB"/>
    <w:rsid w:val="009565E6"/>
    <w:rsid w:val="00956D92"/>
    <w:rsid w:val="00957C39"/>
    <w:rsid w:val="009610AE"/>
    <w:rsid w:val="009611DD"/>
    <w:rsid w:val="00961645"/>
    <w:rsid w:val="009619DB"/>
    <w:rsid w:val="009622BF"/>
    <w:rsid w:val="00965558"/>
    <w:rsid w:val="00967BB9"/>
    <w:rsid w:val="00967E31"/>
    <w:rsid w:val="0097325C"/>
    <w:rsid w:val="00974297"/>
    <w:rsid w:val="009747B9"/>
    <w:rsid w:val="00974FC3"/>
    <w:rsid w:val="00975270"/>
    <w:rsid w:val="00981ABC"/>
    <w:rsid w:val="00983612"/>
    <w:rsid w:val="009848FC"/>
    <w:rsid w:val="00984A92"/>
    <w:rsid w:val="00984D8B"/>
    <w:rsid w:val="00984F0F"/>
    <w:rsid w:val="009865D6"/>
    <w:rsid w:val="009867B2"/>
    <w:rsid w:val="00986F98"/>
    <w:rsid w:val="009921A6"/>
    <w:rsid w:val="009929BB"/>
    <w:rsid w:val="0099408B"/>
    <w:rsid w:val="0099439E"/>
    <w:rsid w:val="00997ED5"/>
    <w:rsid w:val="009A0942"/>
    <w:rsid w:val="009A1095"/>
    <w:rsid w:val="009A11BD"/>
    <w:rsid w:val="009A191F"/>
    <w:rsid w:val="009A6A02"/>
    <w:rsid w:val="009A7E66"/>
    <w:rsid w:val="009B0D9F"/>
    <w:rsid w:val="009B2926"/>
    <w:rsid w:val="009B3472"/>
    <w:rsid w:val="009B4598"/>
    <w:rsid w:val="009B4D2D"/>
    <w:rsid w:val="009B531D"/>
    <w:rsid w:val="009B5381"/>
    <w:rsid w:val="009B5EB5"/>
    <w:rsid w:val="009B6ED8"/>
    <w:rsid w:val="009B6FF0"/>
    <w:rsid w:val="009C0BC8"/>
    <w:rsid w:val="009C1C0D"/>
    <w:rsid w:val="009C2452"/>
    <w:rsid w:val="009C321C"/>
    <w:rsid w:val="009C3574"/>
    <w:rsid w:val="009C3AE7"/>
    <w:rsid w:val="009D0186"/>
    <w:rsid w:val="009D03D8"/>
    <w:rsid w:val="009D04D9"/>
    <w:rsid w:val="009D0749"/>
    <w:rsid w:val="009D09A8"/>
    <w:rsid w:val="009D250D"/>
    <w:rsid w:val="009D336A"/>
    <w:rsid w:val="009D4C08"/>
    <w:rsid w:val="009D56BF"/>
    <w:rsid w:val="009D7292"/>
    <w:rsid w:val="009E08D0"/>
    <w:rsid w:val="009E264E"/>
    <w:rsid w:val="009E3255"/>
    <w:rsid w:val="009E6428"/>
    <w:rsid w:val="009E676C"/>
    <w:rsid w:val="009E6B46"/>
    <w:rsid w:val="009F1499"/>
    <w:rsid w:val="009F14CF"/>
    <w:rsid w:val="009F1B52"/>
    <w:rsid w:val="009F275C"/>
    <w:rsid w:val="009F5354"/>
    <w:rsid w:val="009F68EB"/>
    <w:rsid w:val="009F72D5"/>
    <w:rsid w:val="009F7448"/>
    <w:rsid w:val="009F79F3"/>
    <w:rsid w:val="00A00128"/>
    <w:rsid w:val="00A00A3F"/>
    <w:rsid w:val="00A0237A"/>
    <w:rsid w:val="00A029CA"/>
    <w:rsid w:val="00A04C69"/>
    <w:rsid w:val="00A04F0B"/>
    <w:rsid w:val="00A061A0"/>
    <w:rsid w:val="00A06580"/>
    <w:rsid w:val="00A12A02"/>
    <w:rsid w:val="00A15891"/>
    <w:rsid w:val="00A21166"/>
    <w:rsid w:val="00A2149E"/>
    <w:rsid w:val="00A21740"/>
    <w:rsid w:val="00A2640B"/>
    <w:rsid w:val="00A27311"/>
    <w:rsid w:val="00A30BD7"/>
    <w:rsid w:val="00A30F2F"/>
    <w:rsid w:val="00A31361"/>
    <w:rsid w:val="00A32A80"/>
    <w:rsid w:val="00A32F59"/>
    <w:rsid w:val="00A35242"/>
    <w:rsid w:val="00A35293"/>
    <w:rsid w:val="00A36BE4"/>
    <w:rsid w:val="00A420D1"/>
    <w:rsid w:val="00A43EA0"/>
    <w:rsid w:val="00A46B92"/>
    <w:rsid w:val="00A47E61"/>
    <w:rsid w:val="00A50D0D"/>
    <w:rsid w:val="00A54F4A"/>
    <w:rsid w:val="00A5652E"/>
    <w:rsid w:val="00A56FAA"/>
    <w:rsid w:val="00A57E8C"/>
    <w:rsid w:val="00A627B1"/>
    <w:rsid w:val="00A66620"/>
    <w:rsid w:val="00A67D3A"/>
    <w:rsid w:val="00A67F8C"/>
    <w:rsid w:val="00A711AA"/>
    <w:rsid w:val="00A757EF"/>
    <w:rsid w:val="00A7583D"/>
    <w:rsid w:val="00A77044"/>
    <w:rsid w:val="00A80001"/>
    <w:rsid w:val="00A81B0E"/>
    <w:rsid w:val="00A82D2D"/>
    <w:rsid w:val="00A83802"/>
    <w:rsid w:val="00A84BD7"/>
    <w:rsid w:val="00A86DFB"/>
    <w:rsid w:val="00A8797F"/>
    <w:rsid w:val="00A87AE0"/>
    <w:rsid w:val="00A9060C"/>
    <w:rsid w:val="00A90F71"/>
    <w:rsid w:val="00A91B7F"/>
    <w:rsid w:val="00A92992"/>
    <w:rsid w:val="00A92A79"/>
    <w:rsid w:val="00A932C3"/>
    <w:rsid w:val="00A93A76"/>
    <w:rsid w:val="00A95B9D"/>
    <w:rsid w:val="00AA12B2"/>
    <w:rsid w:val="00AA1350"/>
    <w:rsid w:val="00AA1F6C"/>
    <w:rsid w:val="00AA3619"/>
    <w:rsid w:val="00AA609B"/>
    <w:rsid w:val="00AA61D0"/>
    <w:rsid w:val="00AA68CA"/>
    <w:rsid w:val="00AA6A33"/>
    <w:rsid w:val="00AA6A43"/>
    <w:rsid w:val="00AB1740"/>
    <w:rsid w:val="00AB2AA1"/>
    <w:rsid w:val="00AB2E3E"/>
    <w:rsid w:val="00AB361D"/>
    <w:rsid w:val="00AB3FEA"/>
    <w:rsid w:val="00AB5BF7"/>
    <w:rsid w:val="00AB7066"/>
    <w:rsid w:val="00AB77D5"/>
    <w:rsid w:val="00AC07C9"/>
    <w:rsid w:val="00AC37FA"/>
    <w:rsid w:val="00AC4664"/>
    <w:rsid w:val="00AD09DC"/>
    <w:rsid w:val="00AD17CF"/>
    <w:rsid w:val="00AD6E3E"/>
    <w:rsid w:val="00AD7B62"/>
    <w:rsid w:val="00AD7C44"/>
    <w:rsid w:val="00AE012F"/>
    <w:rsid w:val="00AE0634"/>
    <w:rsid w:val="00AE1985"/>
    <w:rsid w:val="00AE3024"/>
    <w:rsid w:val="00AE46D2"/>
    <w:rsid w:val="00AE500F"/>
    <w:rsid w:val="00AE508D"/>
    <w:rsid w:val="00AE7B41"/>
    <w:rsid w:val="00AE7F23"/>
    <w:rsid w:val="00AF1E43"/>
    <w:rsid w:val="00AF2DC9"/>
    <w:rsid w:val="00AF36A7"/>
    <w:rsid w:val="00AF5D7E"/>
    <w:rsid w:val="00AF72A0"/>
    <w:rsid w:val="00B01088"/>
    <w:rsid w:val="00B024BA"/>
    <w:rsid w:val="00B03E11"/>
    <w:rsid w:val="00B060B2"/>
    <w:rsid w:val="00B06E78"/>
    <w:rsid w:val="00B07B6A"/>
    <w:rsid w:val="00B104E1"/>
    <w:rsid w:val="00B122C9"/>
    <w:rsid w:val="00B140E0"/>
    <w:rsid w:val="00B14272"/>
    <w:rsid w:val="00B14BD4"/>
    <w:rsid w:val="00B15002"/>
    <w:rsid w:val="00B15C8B"/>
    <w:rsid w:val="00B17D58"/>
    <w:rsid w:val="00B20504"/>
    <w:rsid w:val="00B20F25"/>
    <w:rsid w:val="00B21C59"/>
    <w:rsid w:val="00B23221"/>
    <w:rsid w:val="00B248A7"/>
    <w:rsid w:val="00B26113"/>
    <w:rsid w:val="00B3281B"/>
    <w:rsid w:val="00B32B48"/>
    <w:rsid w:val="00B32D03"/>
    <w:rsid w:val="00B3470B"/>
    <w:rsid w:val="00B37324"/>
    <w:rsid w:val="00B4037C"/>
    <w:rsid w:val="00B410D8"/>
    <w:rsid w:val="00B42DC9"/>
    <w:rsid w:val="00B436B1"/>
    <w:rsid w:val="00B43A49"/>
    <w:rsid w:val="00B45403"/>
    <w:rsid w:val="00B46A3B"/>
    <w:rsid w:val="00B46FE4"/>
    <w:rsid w:val="00B507A4"/>
    <w:rsid w:val="00B51D4D"/>
    <w:rsid w:val="00B51FA4"/>
    <w:rsid w:val="00B526BC"/>
    <w:rsid w:val="00B52FA7"/>
    <w:rsid w:val="00B559F8"/>
    <w:rsid w:val="00B56628"/>
    <w:rsid w:val="00B610D8"/>
    <w:rsid w:val="00B6119F"/>
    <w:rsid w:val="00B611E6"/>
    <w:rsid w:val="00B61F11"/>
    <w:rsid w:val="00B622DC"/>
    <w:rsid w:val="00B66523"/>
    <w:rsid w:val="00B66CA2"/>
    <w:rsid w:val="00B67F56"/>
    <w:rsid w:val="00B700A0"/>
    <w:rsid w:val="00B71313"/>
    <w:rsid w:val="00B71637"/>
    <w:rsid w:val="00B72FD6"/>
    <w:rsid w:val="00B730E0"/>
    <w:rsid w:val="00B73423"/>
    <w:rsid w:val="00B748B1"/>
    <w:rsid w:val="00B76286"/>
    <w:rsid w:val="00B7740A"/>
    <w:rsid w:val="00B77FAC"/>
    <w:rsid w:val="00B81314"/>
    <w:rsid w:val="00B8346F"/>
    <w:rsid w:val="00B8372A"/>
    <w:rsid w:val="00B84080"/>
    <w:rsid w:val="00B90261"/>
    <w:rsid w:val="00B9154F"/>
    <w:rsid w:val="00B9379D"/>
    <w:rsid w:val="00B9458B"/>
    <w:rsid w:val="00B96023"/>
    <w:rsid w:val="00B97F65"/>
    <w:rsid w:val="00BA0D05"/>
    <w:rsid w:val="00BA1E5C"/>
    <w:rsid w:val="00BA3C3B"/>
    <w:rsid w:val="00BA4F13"/>
    <w:rsid w:val="00BB0AA8"/>
    <w:rsid w:val="00BB0C80"/>
    <w:rsid w:val="00BB0CA9"/>
    <w:rsid w:val="00BB12C5"/>
    <w:rsid w:val="00BB12F2"/>
    <w:rsid w:val="00BB3252"/>
    <w:rsid w:val="00BB34F1"/>
    <w:rsid w:val="00BB357F"/>
    <w:rsid w:val="00BB38C5"/>
    <w:rsid w:val="00BB3AB6"/>
    <w:rsid w:val="00BB4EF6"/>
    <w:rsid w:val="00BC028C"/>
    <w:rsid w:val="00BC3A5B"/>
    <w:rsid w:val="00BC4DD5"/>
    <w:rsid w:val="00BC6E73"/>
    <w:rsid w:val="00BC72EE"/>
    <w:rsid w:val="00BD3927"/>
    <w:rsid w:val="00BD7BC1"/>
    <w:rsid w:val="00BD7F45"/>
    <w:rsid w:val="00BE00FC"/>
    <w:rsid w:val="00BE0CC6"/>
    <w:rsid w:val="00BE3340"/>
    <w:rsid w:val="00BE487D"/>
    <w:rsid w:val="00BE4A7D"/>
    <w:rsid w:val="00BF0CBF"/>
    <w:rsid w:val="00BF147F"/>
    <w:rsid w:val="00BF2A67"/>
    <w:rsid w:val="00BF488E"/>
    <w:rsid w:val="00BF4D5B"/>
    <w:rsid w:val="00BF61AA"/>
    <w:rsid w:val="00C01732"/>
    <w:rsid w:val="00C02B05"/>
    <w:rsid w:val="00C051BE"/>
    <w:rsid w:val="00C061F3"/>
    <w:rsid w:val="00C06348"/>
    <w:rsid w:val="00C10CBD"/>
    <w:rsid w:val="00C1179B"/>
    <w:rsid w:val="00C123F5"/>
    <w:rsid w:val="00C12B1C"/>
    <w:rsid w:val="00C15376"/>
    <w:rsid w:val="00C15AE7"/>
    <w:rsid w:val="00C20941"/>
    <w:rsid w:val="00C21D36"/>
    <w:rsid w:val="00C22172"/>
    <w:rsid w:val="00C23242"/>
    <w:rsid w:val="00C25B87"/>
    <w:rsid w:val="00C260D1"/>
    <w:rsid w:val="00C2650B"/>
    <w:rsid w:val="00C30073"/>
    <w:rsid w:val="00C32A14"/>
    <w:rsid w:val="00C343AA"/>
    <w:rsid w:val="00C34C4F"/>
    <w:rsid w:val="00C35C29"/>
    <w:rsid w:val="00C364B2"/>
    <w:rsid w:val="00C372C5"/>
    <w:rsid w:val="00C37840"/>
    <w:rsid w:val="00C4099F"/>
    <w:rsid w:val="00C412C7"/>
    <w:rsid w:val="00C422D2"/>
    <w:rsid w:val="00C439E1"/>
    <w:rsid w:val="00C43B99"/>
    <w:rsid w:val="00C443C5"/>
    <w:rsid w:val="00C444E6"/>
    <w:rsid w:val="00C449FE"/>
    <w:rsid w:val="00C4500B"/>
    <w:rsid w:val="00C462D6"/>
    <w:rsid w:val="00C4747A"/>
    <w:rsid w:val="00C474A6"/>
    <w:rsid w:val="00C47B4C"/>
    <w:rsid w:val="00C514A5"/>
    <w:rsid w:val="00C51EA3"/>
    <w:rsid w:val="00C53529"/>
    <w:rsid w:val="00C5470C"/>
    <w:rsid w:val="00C57979"/>
    <w:rsid w:val="00C60E8F"/>
    <w:rsid w:val="00C616A3"/>
    <w:rsid w:val="00C648CE"/>
    <w:rsid w:val="00C649A6"/>
    <w:rsid w:val="00C64CD0"/>
    <w:rsid w:val="00C65567"/>
    <w:rsid w:val="00C7068E"/>
    <w:rsid w:val="00C7105F"/>
    <w:rsid w:val="00C7287F"/>
    <w:rsid w:val="00C728BA"/>
    <w:rsid w:val="00C72A00"/>
    <w:rsid w:val="00C734A7"/>
    <w:rsid w:val="00C73A74"/>
    <w:rsid w:val="00C74C39"/>
    <w:rsid w:val="00C75394"/>
    <w:rsid w:val="00C76C5C"/>
    <w:rsid w:val="00C76E1C"/>
    <w:rsid w:val="00C771AF"/>
    <w:rsid w:val="00C8070D"/>
    <w:rsid w:val="00C82B3E"/>
    <w:rsid w:val="00C84059"/>
    <w:rsid w:val="00C84277"/>
    <w:rsid w:val="00C843DE"/>
    <w:rsid w:val="00C854C4"/>
    <w:rsid w:val="00C878FE"/>
    <w:rsid w:val="00C879AA"/>
    <w:rsid w:val="00C900FD"/>
    <w:rsid w:val="00C91439"/>
    <w:rsid w:val="00C9225A"/>
    <w:rsid w:val="00C923CF"/>
    <w:rsid w:val="00C936EE"/>
    <w:rsid w:val="00C93D84"/>
    <w:rsid w:val="00C96F07"/>
    <w:rsid w:val="00CA1B50"/>
    <w:rsid w:val="00CA1E26"/>
    <w:rsid w:val="00CA1F8C"/>
    <w:rsid w:val="00CA2162"/>
    <w:rsid w:val="00CA390A"/>
    <w:rsid w:val="00CA39A6"/>
    <w:rsid w:val="00CA4B5D"/>
    <w:rsid w:val="00CA6F16"/>
    <w:rsid w:val="00CB083E"/>
    <w:rsid w:val="00CB4327"/>
    <w:rsid w:val="00CB7D7B"/>
    <w:rsid w:val="00CB7FF0"/>
    <w:rsid w:val="00CC026E"/>
    <w:rsid w:val="00CC1247"/>
    <w:rsid w:val="00CC23DD"/>
    <w:rsid w:val="00CC557D"/>
    <w:rsid w:val="00CC6093"/>
    <w:rsid w:val="00CC6406"/>
    <w:rsid w:val="00CD123F"/>
    <w:rsid w:val="00CD4625"/>
    <w:rsid w:val="00CD48F6"/>
    <w:rsid w:val="00CD76C3"/>
    <w:rsid w:val="00CE2F6B"/>
    <w:rsid w:val="00CE3EF7"/>
    <w:rsid w:val="00CE5ECF"/>
    <w:rsid w:val="00CE67CD"/>
    <w:rsid w:val="00CF0B17"/>
    <w:rsid w:val="00CF5342"/>
    <w:rsid w:val="00CF7959"/>
    <w:rsid w:val="00CF7BBF"/>
    <w:rsid w:val="00D00A63"/>
    <w:rsid w:val="00D03A20"/>
    <w:rsid w:val="00D041A3"/>
    <w:rsid w:val="00D050DA"/>
    <w:rsid w:val="00D051C7"/>
    <w:rsid w:val="00D061AC"/>
    <w:rsid w:val="00D064D2"/>
    <w:rsid w:val="00D069E6"/>
    <w:rsid w:val="00D07AC7"/>
    <w:rsid w:val="00D07E0A"/>
    <w:rsid w:val="00D129D4"/>
    <w:rsid w:val="00D13118"/>
    <w:rsid w:val="00D13CA8"/>
    <w:rsid w:val="00D147E5"/>
    <w:rsid w:val="00D17606"/>
    <w:rsid w:val="00D21F13"/>
    <w:rsid w:val="00D221B2"/>
    <w:rsid w:val="00D230CD"/>
    <w:rsid w:val="00D23B57"/>
    <w:rsid w:val="00D24D1D"/>
    <w:rsid w:val="00D25214"/>
    <w:rsid w:val="00D254E1"/>
    <w:rsid w:val="00D277BF"/>
    <w:rsid w:val="00D3047E"/>
    <w:rsid w:val="00D321F1"/>
    <w:rsid w:val="00D33C3F"/>
    <w:rsid w:val="00D37590"/>
    <w:rsid w:val="00D420D6"/>
    <w:rsid w:val="00D42D31"/>
    <w:rsid w:val="00D4304C"/>
    <w:rsid w:val="00D43885"/>
    <w:rsid w:val="00D44125"/>
    <w:rsid w:val="00D45A01"/>
    <w:rsid w:val="00D50469"/>
    <w:rsid w:val="00D50544"/>
    <w:rsid w:val="00D51BCD"/>
    <w:rsid w:val="00D535AD"/>
    <w:rsid w:val="00D54272"/>
    <w:rsid w:val="00D558B6"/>
    <w:rsid w:val="00D56D01"/>
    <w:rsid w:val="00D5749B"/>
    <w:rsid w:val="00D603EF"/>
    <w:rsid w:val="00D612B1"/>
    <w:rsid w:val="00D61BEC"/>
    <w:rsid w:val="00D620D8"/>
    <w:rsid w:val="00D62A34"/>
    <w:rsid w:val="00D63418"/>
    <w:rsid w:val="00D63518"/>
    <w:rsid w:val="00D647FC"/>
    <w:rsid w:val="00D64E84"/>
    <w:rsid w:val="00D666B1"/>
    <w:rsid w:val="00D70489"/>
    <w:rsid w:val="00D72BF3"/>
    <w:rsid w:val="00D74E54"/>
    <w:rsid w:val="00D75381"/>
    <w:rsid w:val="00D77226"/>
    <w:rsid w:val="00D773EA"/>
    <w:rsid w:val="00D8015D"/>
    <w:rsid w:val="00D806E2"/>
    <w:rsid w:val="00D8320D"/>
    <w:rsid w:val="00D85924"/>
    <w:rsid w:val="00D86A3F"/>
    <w:rsid w:val="00D906CD"/>
    <w:rsid w:val="00D92F4E"/>
    <w:rsid w:val="00D93590"/>
    <w:rsid w:val="00D94503"/>
    <w:rsid w:val="00D94D8F"/>
    <w:rsid w:val="00DA0BDA"/>
    <w:rsid w:val="00DA1920"/>
    <w:rsid w:val="00DA3613"/>
    <w:rsid w:val="00DA49FD"/>
    <w:rsid w:val="00DB05C4"/>
    <w:rsid w:val="00DB4022"/>
    <w:rsid w:val="00DB4089"/>
    <w:rsid w:val="00DB4FF5"/>
    <w:rsid w:val="00DB68E2"/>
    <w:rsid w:val="00DB6ACF"/>
    <w:rsid w:val="00DC08CC"/>
    <w:rsid w:val="00DC1600"/>
    <w:rsid w:val="00DC5B8F"/>
    <w:rsid w:val="00DD0AC3"/>
    <w:rsid w:val="00DD0E5D"/>
    <w:rsid w:val="00DD1676"/>
    <w:rsid w:val="00DD1A18"/>
    <w:rsid w:val="00DD27C7"/>
    <w:rsid w:val="00DD3630"/>
    <w:rsid w:val="00DD50AC"/>
    <w:rsid w:val="00DD6E4F"/>
    <w:rsid w:val="00DD759E"/>
    <w:rsid w:val="00DE048D"/>
    <w:rsid w:val="00DE0A02"/>
    <w:rsid w:val="00DE183B"/>
    <w:rsid w:val="00DE1B67"/>
    <w:rsid w:val="00DE3C33"/>
    <w:rsid w:val="00DE4575"/>
    <w:rsid w:val="00DE5A34"/>
    <w:rsid w:val="00DE6D90"/>
    <w:rsid w:val="00DF0FB9"/>
    <w:rsid w:val="00DF387C"/>
    <w:rsid w:val="00DF4591"/>
    <w:rsid w:val="00DF45D2"/>
    <w:rsid w:val="00DF61AE"/>
    <w:rsid w:val="00E0015D"/>
    <w:rsid w:val="00E00ADB"/>
    <w:rsid w:val="00E01024"/>
    <w:rsid w:val="00E01906"/>
    <w:rsid w:val="00E02659"/>
    <w:rsid w:val="00E063E9"/>
    <w:rsid w:val="00E074A2"/>
    <w:rsid w:val="00E132AE"/>
    <w:rsid w:val="00E151B0"/>
    <w:rsid w:val="00E15CBB"/>
    <w:rsid w:val="00E1652E"/>
    <w:rsid w:val="00E16F0A"/>
    <w:rsid w:val="00E175E8"/>
    <w:rsid w:val="00E2142C"/>
    <w:rsid w:val="00E22A38"/>
    <w:rsid w:val="00E22E94"/>
    <w:rsid w:val="00E241B6"/>
    <w:rsid w:val="00E24BFB"/>
    <w:rsid w:val="00E268B5"/>
    <w:rsid w:val="00E30092"/>
    <w:rsid w:val="00E33B30"/>
    <w:rsid w:val="00E33E2C"/>
    <w:rsid w:val="00E3626E"/>
    <w:rsid w:val="00E36352"/>
    <w:rsid w:val="00E3665D"/>
    <w:rsid w:val="00E37BAA"/>
    <w:rsid w:val="00E40372"/>
    <w:rsid w:val="00E4090D"/>
    <w:rsid w:val="00E409BA"/>
    <w:rsid w:val="00E42D3D"/>
    <w:rsid w:val="00E43785"/>
    <w:rsid w:val="00E43CC4"/>
    <w:rsid w:val="00E47096"/>
    <w:rsid w:val="00E47188"/>
    <w:rsid w:val="00E479FC"/>
    <w:rsid w:val="00E50F87"/>
    <w:rsid w:val="00E52795"/>
    <w:rsid w:val="00E56952"/>
    <w:rsid w:val="00E56953"/>
    <w:rsid w:val="00E56C0A"/>
    <w:rsid w:val="00E601E3"/>
    <w:rsid w:val="00E6348F"/>
    <w:rsid w:val="00E648B6"/>
    <w:rsid w:val="00E6657D"/>
    <w:rsid w:val="00E66584"/>
    <w:rsid w:val="00E66772"/>
    <w:rsid w:val="00E66A24"/>
    <w:rsid w:val="00E70EBB"/>
    <w:rsid w:val="00E733CC"/>
    <w:rsid w:val="00E73D3C"/>
    <w:rsid w:val="00E73F4E"/>
    <w:rsid w:val="00E76219"/>
    <w:rsid w:val="00E77ACF"/>
    <w:rsid w:val="00E77BE9"/>
    <w:rsid w:val="00E77C30"/>
    <w:rsid w:val="00E8101B"/>
    <w:rsid w:val="00E81C0A"/>
    <w:rsid w:val="00E8292E"/>
    <w:rsid w:val="00E845C6"/>
    <w:rsid w:val="00E86061"/>
    <w:rsid w:val="00E87480"/>
    <w:rsid w:val="00E91104"/>
    <w:rsid w:val="00E91C3E"/>
    <w:rsid w:val="00E92DB6"/>
    <w:rsid w:val="00E9395B"/>
    <w:rsid w:val="00E9692B"/>
    <w:rsid w:val="00E975DD"/>
    <w:rsid w:val="00E97751"/>
    <w:rsid w:val="00E97B0F"/>
    <w:rsid w:val="00E97C90"/>
    <w:rsid w:val="00EA1AA5"/>
    <w:rsid w:val="00EA1F80"/>
    <w:rsid w:val="00EA5297"/>
    <w:rsid w:val="00EA67DD"/>
    <w:rsid w:val="00EB2597"/>
    <w:rsid w:val="00EB2C2D"/>
    <w:rsid w:val="00EB325A"/>
    <w:rsid w:val="00EB5484"/>
    <w:rsid w:val="00EB565D"/>
    <w:rsid w:val="00EB6168"/>
    <w:rsid w:val="00EC1BBF"/>
    <w:rsid w:val="00EC1D24"/>
    <w:rsid w:val="00EC56D8"/>
    <w:rsid w:val="00EC62A7"/>
    <w:rsid w:val="00ED0741"/>
    <w:rsid w:val="00ED0F82"/>
    <w:rsid w:val="00ED1893"/>
    <w:rsid w:val="00ED23DE"/>
    <w:rsid w:val="00ED4467"/>
    <w:rsid w:val="00ED49F6"/>
    <w:rsid w:val="00ED4ED9"/>
    <w:rsid w:val="00ED555A"/>
    <w:rsid w:val="00ED7566"/>
    <w:rsid w:val="00ED7B7D"/>
    <w:rsid w:val="00EE19DE"/>
    <w:rsid w:val="00EE1ABD"/>
    <w:rsid w:val="00EE27E3"/>
    <w:rsid w:val="00EE4D9E"/>
    <w:rsid w:val="00EE6DD8"/>
    <w:rsid w:val="00EE7EC4"/>
    <w:rsid w:val="00EF2406"/>
    <w:rsid w:val="00EF26BA"/>
    <w:rsid w:val="00EF2B6B"/>
    <w:rsid w:val="00EF5C92"/>
    <w:rsid w:val="00F011EB"/>
    <w:rsid w:val="00F01E14"/>
    <w:rsid w:val="00F02EB1"/>
    <w:rsid w:val="00F05DA6"/>
    <w:rsid w:val="00F07331"/>
    <w:rsid w:val="00F075DB"/>
    <w:rsid w:val="00F14095"/>
    <w:rsid w:val="00F16F76"/>
    <w:rsid w:val="00F17CD2"/>
    <w:rsid w:val="00F22A2F"/>
    <w:rsid w:val="00F24ACC"/>
    <w:rsid w:val="00F263EC"/>
    <w:rsid w:val="00F27963"/>
    <w:rsid w:val="00F3060C"/>
    <w:rsid w:val="00F3108A"/>
    <w:rsid w:val="00F320A0"/>
    <w:rsid w:val="00F33188"/>
    <w:rsid w:val="00F3349C"/>
    <w:rsid w:val="00F346D3"/>
    <w:rsid w:val="00F37556"/>
    <w:rsid w:val="00F40794"/>
    <w:rsid w:val="00F41DC6"/>
    <w:rsid w:val="00F42043"/>
    <w:rsid w:val="00F422F2"/>
    <w:rsid w:val="00F43689"/>
    <w:rsid w:val="00F43866"/>
    <w:rsid w:val="00F440D7"/>
    <w:rsid w:val="00F44F73"/>
    <w:rsid w:val="00F50AA8"/>
    <w:rsid w:val="00F5405D"/>
    <w:rsid w:val="00F54868"/>
    <w:rsid w:val="00F5559C"/>
    <w:rsid w:val="00F559EA"/>
    <w:rsid w:val="00F56A06"/>
    <w:rsid w:val="00F5732F"/>
    <w:rsid w:val="00F5778B"/>
    <w:rsid w:val="00F60ECB"/>
    <w:rsid w:val="00F61C08"/>
    <w:rsid w:val="00F61FE4"/>
    <w:rsid w:val="00F62FF9"/>
    <w:rsid w:val="00F63425"/>
    <w:rsid w:val="00F63B8E"/>
    <w:rsid w:val="00F6713D"/>
    <w:rsid w:val="00F67F43"/>
    <w:rsid w:val="00F70527"/>
    <w:rsid w:val="00F71129"/>
    <w:rsid w:val="00F72C79"/>
    <w:rsid w:val="00F74B68"/>
    <w:rsid w:val="00F75119"/>
    <w:rsid w:val="00F76DED"/>
    <w:rsid w:val="00F80F84"/>
    <w:rsid w:val="00F81D37"/>
    <w:rsid w:val="00F82398"/>
    <w:rsid w:val="00F82BC9"/>
    <w:rsid w:val="00F8306C"/>
    <w:rsid w:val="00F836F1"/>
    <w:rsid w:val="00F84570"/>
    <w:rsid w:val="00F87219"/>
    <w:rsid w:val="00F87C74"/>
    <w:rsid w:val="00F9184D"/>
    <w:rsid w:val="00F928B0"/>
    <w:rsid w:val="00F930E5"/>
    <w:rsid w:val="00F944B1"/>
    <w:rsid w:val="00F95C35"/>
    <w:rsid w:val="00F95F06"/>
    <w:rsid w:val="00F97134"/>
    <w:rsid w:val="00F975C6"/>
    <w:rsid w:val="00F9791F"/>
    <w:rsid w:val="00F97C6E"/>
    <w:rsid w:val="00FA0042"/>
    <w:rsid w:val="00FA6E26"/>
    <w:rsid w:val="00FB1741"/>
    <w:rsid w:val="00FB1893"/>
    <w:rsid w:val="00FB38FE"/>
    <w:rsid w:val="00FB73F8"/>
    <w:rsid w:val="00FC00D6"/>
    <w:rsid w:val="00FC0562"/>
    <w:rsid w:val="00FC1888"/>
    <w:rsid w:val="00FC208A"/>
    <w:rsid w:val="00FC3E96"/>
    <w:rsid w:val="00FC565D"/>
    <w:rsid w:val="00FC733B"/>
    <w:rsid w:val="00FC74C6"/>
    <w:rsid w:val="00FC79E5"/>
    <w:rsid w:val="00FD0129"/>
    <w:rsid w:val="00FD2082"/>
    <w:rsid w:val="00FD2A14"/>
    <w:rsid w:val="00FD2AAF"/>
    <w:rsid w:val="00FD55A3"/>
    <w:rsid w:val="00FD58A1"/>
    <w:rsid w:val="00FD774B"/>
    <w:rsid w:val="00FD793C"/>
    <w:rsid w:val="00FE0FAA"/>
    <w:rsid w:val="00FE18D2"/>
    <w:rsid w:val="00FE1D7B"/>
    <w:rsid w:val="00FE2B54"/>
    <w:rsid w:val="00FE3089"/>
    <w:rsid w:val="00FE4566"/>
    <w:rsid w:val="00FF1D24"/>
    <w:rsid w:val="00FF24D4"/>
    <w:rsid w:val="00FF2ACC"/>
    <w:rsid w:val="00FF2D75"/>
    <w:rsid w:val="00FF3976"/>
    <w:rsid w:val="00FF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674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730E0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dpis2">
    <w:name w:val="heading 2"/>
    <w:basedOn w:val="Normln"/>
    <w:qFormat/>
    <w:rsid w:val="007463C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nhideWhenUsed/>
    <w:qFormat/>
    <w:rsid w:val="00C450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ubtitle1">
    <w:name w:val="subtitle1"/>
    <w:basedOn w:val="Normln"/>
    <w:rsid w:val="007463CE"/>
    <w:pPr>
      <w:spacing w:before="100" w:beforeAutospacing="1" w:after="100" w:afterAutospacing="1"/>
    </w:pPr>
  </w:style>
  <w:style w:type="character" w:styleId="Siln">
    <w:name w:val="Strong"/>
    <w:qFormat/>
    <w:rsid w:val="007463CE"/>
    <w:rPr>
      <w:b/>
      <w:bCs/>
    </w:rPr>
  </w:style>
  <w:style w:type="paragraph" w:styleId="Textbubliny">
    <w:name w:val="Balloon Text"/>
    <w:basedOn w:val="Normln"/>
    <w:semiHidden/>
    <w:rsid w:val="00EF2B6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A3619"/>
    <w:pPr>
      <w:suppressAutoHyphens/>
      <w:spacing w:before="60" w:after="60"/>
    </w:pPr>
    <w:rPr>
      <w:rFonts w:ascii="Arial" w:hAnsi="Arial"/>
      <w:sz w:val="20"/>
      <w:lang w:eastAsia="ar-SA"/>
    </w:rPr>
  </w:style>
  <w:style w:type="character" w:customStyle="1" w:styleId="ZhlavChar">
    <w:name w:val="Záhlaví Char"/>
    <w:link w:val="Zhlav"/>
    <w:rsid w:val="00AA3619"/>
    <w:rPr>
      <w:rFonts w:ascii="Arial" w:hAnsi="Arial"/>
      <w:szCs w:val="24"/>
      <w:lang w:eastAsia="ar-SA"/>
    </w:rPr>
  </w:style>
  <w:style w:type="character" w:styleId="Hypertextovodkaz">
    <w:name w:val="Hyperlink"/>
    <w:uiPriority w:val="99"/>
    <w:rsid w:val="00AA3619"/>
    <w:rPr>
      <w:color w:val="0000FF"/>
      <w:u w:val="single"/>
    </w:rPr>
  </w:style>
  <w:style w:type="character" w:styleId="Odkaznakoment">
    <w:name w:val="annotation reference"/>
    <w:rsid w:val="00394381"/>
    <w:rPr>
      <w:sz w:val="16"/>
      <w:szCs w:val="16"/>
    </w:rPr>
  </w:style>
  <w:style w:type="paragraph" w:styleId="Textkomente">
    <w:name w:val="annotation text"/>
    <w:basedOn w:val="Normln"/>
    <w:link w:val="TextkomenteChar"/>
    <w:rsid w:val="0039438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94381"/>
  </w:style>
  <w:style w:type="paragraph" w:styleId="Pedmtkomente">
    <w:name w:val="annotation subject"/>
    <w:basedOn w:val="Textkomente"/>
    <w:next w:val="Textkomente"/>
    <w:link w:val="PedmtkomenteChar"/>
    <w:rsid w:val="00394381"/>
    <w:rPr>
      <w:b/>
      <w:bCs/>
    </w:rPr>
  </w:style>
  <w:style w:type="character" w:customStyle="1" w:styleId="PedmtkomenteChar">
    <w:name w:val="Předmět komentáře Char"/>
    <w:link w:val="Pedmtkomente"/>
    <w:rsid w:val="00394381"/>
    <w:rPr>
      <w:b/>
      <w:bCs/>
    </w:rPr>
  </w:style>
  <w:style w:type="character" w:customStyle="1" w:styleId="hps">
    <w:name w:val="hps"/>
    <w:basedOn w:val="Standardnpsmoodstavce"/>
    <w:rsid w:val="001E319F"/>
  </w:style>
  <w:style w:type="character" w:customStyle="1" w:styleId="apple-converted-space">
    <w:name w:val="apple-converted-space"/>
    <w:basedOn w:val="Standardnpsmoodstavce"/>
    <w:rsid w:val="00956D92"/>
  </w:style>
  <w:style w:type="paragraph" w:styleId="Normlnweb">
    <w:name w:val="Normal (Web)"/>
    <w:basedOn w:val="Normln"/>
    <w:uiPriority w:val="99"/>
    <w:unhideWhenUsed/>
    <w:rsid w:val="00D620D8"/>
    <w:pPr>
      <w:spacing w:before="120" w:after="120" w:line="260" w:lineRule="atLeast"/>
      <w:jc w:val="both"/>
    </w:pPr>
  </w:style>
  <w:style w:type="paragraph" w:styleId="Revize">
    <w:name w:val="Revision"/>
    <w:hidden/>
    <w:uiPriority w:val="99"/>
    <w:semiHidden/>
    <w:rsid w:val="00A029CA"/>
    <w:rPr>
      <w:sz w:val="24"/>
      <w:szCs w:val="24"/>
    </w:rPr>
  </w:style>
  <w:style w:type="character" w:customStyle="1" w:styleId="st">
    <w:name w:val="st"/>
    <w:rsid w:val="001735BF"/>
  </w:style>
  <w:style w:type="paragraph" w:customStyle="1" w:styleId="Odstavecseseznamem1">
    <w:name w:val="Odstavec se seznamem1"/>
    <w:basedOn w:val="Normln"/>
    <w:rsid w:val="00E165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005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0">
    <w:name w:val="Pa0"/>
    <w:basedOn w:val="Normln"/>
    <w:next w:val="Normln"/>
    <w:uiPriority w:val="99"/>
    <w:rsid w:val="001E6EDA"/>
    <w:pPr>
      <w:autoSpaceDE w:val="0"/>
      <w:autoSpaceDN w:val="0"/>
      <w:adjustRightInd w:val="0"/>
      <w:spacing w:line="241" w:lineRule="atLeast"/>
    </w:pPr>
    <w:rPr>
      <w:rFonts w:ascii="PIFranklinGothicBookCond" w:hAnsi="PIFranklinGothicBookCond"/>
    </w:rPr>
  </w:style>
  <w:style w:type="character" w:customStyle="1" w:styleId="A7">
    <w:name w:val="A7"/>
    <w:uiPriority w:val="99"/>
    <w:rsid w:val="001E6EDA"/>
    <w:rPr>
      <w:rFonts w:cs="PIFranklinGothicBookCond"/>
      <w:color w:val="003C68"/>
      <w:sz w:val="12"/>
      <w:szCs w:val="12"/>
    </w:rPr>
  </w:style>
  <w:style w:type="character" w:customStyle="1" w:styleId="A15">
    <w:name w:val="A15"/>
    <w:uiPriority w:val="99"/>
    <w:rsid w:val="001E6EDA"/>
    <w:rPr>
      <w:rFonts w:cs="PIFranklinGothicBookCond"/>
      <w:color w:val="003C68"/>
      <w:sz w:val="10"/>
      <w:szCs w:val="10"/>
    </w:rPr>
  </w:style>
  <w:style w:type="paragraph" w:customStyle="1" w:styleId="Default">
    <w:name w:val="Default"/>
    <w:rsid w:val="00DD759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B730E0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B66CA2"/>
    <w:pPr>
      <w:ind w:left="720"/>
    </w:pPr>
    <w:rPr>
      <w:rFonts w:eastAsia="Calibri"/>
    </w:rPr>
  </w:style>
  <w:style w:type="paragraph" w:styleId="Bezmezer">
    <w:name w:val="No Spacing"/>
    <w:basedOn w:val="Normln"/>
    <w:uiPriority w:val="1"/>
    <w:qFormat/>
    <w:rsid w:val="005E6284"/>
    <w:rPr>
      <w:rFonts w:ascii="Calibri" w:eastAsiaTheme="minorHAnsi" w:hAnsi="Calibri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C450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C4500B"/>
    <w:pPr>
      <w:ind w:firstLine="709"/>
    </w:pPr>
    <w:rPr>
      <w:rFonts w:ascii="Calibri" w:eastAsiaTheme="minorHAnsi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4500B"/>
    <w:rPr>
      <w:rFonts w:ascii="Calibri" w:eastAsiaTheme="minorHAnsi" w:hAnsi="Calibri"/>
    </w:rPr>
  </w:style>
  <w:style w:type="character" w:styleId="Znakapoznpodarou">
    <w:name w:val="footnote reference"/>
    <w:basedOn w:val="Standardnpsmoodstavce"/>
    <w:unhideWhenUsed/>
    <w:rsid w:val="00C4500B"/>
    <w:rPr>
      <w:vertAlign w:val="superscript"/>
    </w:rPr>
  </w:style>
  <w:style w:type="paragraph" w:styleId="Zpat">
    <w:name w:val="footer"/>
    <w:basedOn w:val="Normln"/>
    <w:link w:val="ZpatChar"/>
    <w:rsid w:val="00D21F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21F1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EB6168"/>
    <w:pPr>
      <w:spacing w:after="240"/>
    </w:pPr>
    <w:rPr>
      <w:rFonts w:eastAsiaTheme="minorHAnsi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B6168"/>
    <w:rPr>
      <w:rFonts w:eastAsiaTheme="minorHAnsi"/>
      <w:sz w:val="24"/>
      <w:szCs w:val="24"/>
      <w:lang w:eastAsia="en-US"/>
    </w:rPr>
  </w:style>
  <w:style w:type="paragraph" w:styleId="Textvysvtlivek">
    <w:name w:val="endnote text"/>
    <w:basedOn w:val="Normln"/>
    <w:link w:val="TextvysvtlivekChar"/>
    <w:semiHidden/>
    <w:unhideWhenUsed/>
    <w:rsid w:val="002A5E1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2A5E1F"/>
  </w:style>
  <w:style w:type="character" w:styleId="Odkaznavysvtlivky">
    <w:name w:val="endnote reference"/>
    <w:basedOn w:val="Standardnpsmoodstavce"/>
    <w:semiHidden/>
    <w:unhideWhenUsed/>
    <w:rsid w:val="002A5E1F"/>
    <w:rPr>
      <w:vertAlign w:val="superscript"/>
    </w:rPr>
  </w:style>
  <w:style w:type="paragraph" w:styleId="Rozvrendokumentu">
    <w:name w:val="Document Map"/>
    <w:basedOn w:val="Normln"/>
    <w:link w:val="RozvrendokumentuChar"/>
    <w:semiHidden/>
    <w:unhideWhenUsed/>
    <w:rsid w:val="00CF7959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semiHidden/>
    <w:rsid w:val="00CF7959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semiHidden/>
    <w:unhideWhenUsed/>
    <w:rsid w:val="000171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674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730E0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dpis2">
    <w:name w:val="heading 2"/>
    <w:basedOn w:val="Normln"/>
    <w:qFormat/>
    <w:rsid w:val="007463C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nhideWhenUsed/>
    <w:qFormat/>
    <w:rsid w:val="00C450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ubtitle1">
    <w:name w:val="subtitle1"/>
    <w:basedOn w:val="Normln"/>
    <w:rsid w:val="007463CE"/>
    <w:pPr>
      <w:spacing w:before="100" w:beforeAutospacing="1" w:after="100" w:afterAutospacing="1"/>
    </w:pPr>
  </w:style>
  <w:style w:type="character" w:styleId="Siln">
    <w:name w:val="Strong"/>
    <w:qFormat/>
    <w:rsid w:val="007463CE"/>
    <w:rPr>
      <w:b/>
      <w:bCs/>
    </w:rPr>
  </w:style>
  <w:style w:type="paragraph" w:styleId="Textbubliny">
    <w:name w:val="Balloon Text"/>
    <w:basedOn w:val="Normln"/>
    <w:semiHidden/>
    <w:rsid w:val="00EF2B6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A3619"/>
    <w:pPr>
      <w:suppressAutoHyphens/>
      <w:spacing w:before="60" w:after="60"/>
    </w:pPr>
    <w:rPr>
      <w:rFonts w:ascii="Arial" w:hAnsi="Arial"/>
      <w:sz w:val="20"/>
      <w:lang w:eastAsia="ar-SA"/>
    </w:rPr>
  </w:style>
  <w:style w:type="character" w:customStyle="1" w:styleId="ZhlavChar">
    <w:name w:val="Záhlaví Char"/>
    <w:link w:val="Zhlav"/>
    <w:rsid w:val="00AA3619"/>
    <w:rPr>
      <w:rFonts w:ascii="Arial" w:hAnsi="Arial"/>
      <w:szCs w:val="24"/>
      <w:lang w:eastAsia="ar-SA"/>
    </w:rPr>
  </w:style>
  <w:style w:type="character" w:styleId="Hypertextovodkaz">
    <w:name w:val="Hyperlink"/>
    <w:uiPriority w:val="99"/>
    <w:rsid w:val="00AA3619"/>
    <w:rPr>
      <w:color w:val="0000FF"/>
      <w:u w:val="single"/>
    </w:rPr>
  </w:style>
  <w:style w:type="character" w:styleId="Odkaznakoment">
    <w:name w:val="annotation reference"/>
    <w:rsid w:val="00394381"/>
    <w:rPr>
      <w:sz w:val="16"/>
      <w:szCs w:val="16"/>
    </w:rPr>
  </w:style>
  <w:style w:type="paragraph" w:styleId="Textkomente">
    <w:name w:val="annotation text"/>
    <w:basedOn w:val="Normln"/>
    <w:link w:val="TextkomenteChar"/>
    <w:rsid w:val="0039438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94381"/>
  </w:style>
  <w:style w:type="paragraph" w:styleId="Pedmtkomente">
    <w:name w:val="annotation subject"/>
    <w:basedOn w:val="Textkomente"/>
    <w:next w:val="Textkomente"/>
    <w:link w:val="PedmtkomenteChar"/>
    <w:rsid w:val="00394381"/>
    <w:rPr>
      <w:b/>
      <w:bCs/>
    </w:rPr>
  </w:style>
  <w:style w:type="character" w:customStyle="1" w:styleId="PedmtkomenteChar">
    <w:name w:val="Předmět komentáře Char"/>
    <w:link w:val="Pedmtkomente"/>
    <w:rsid w:val="00394381"/>
    <w:rPr>
      <w:b/>
      <w:bCs/>
    </w:rPr>
  </w:style>
  <w:style w:type="character" w:customStyle="1" w:styleId="hps">
    <w:name w:val="hps"/>
    <w:basedOn w:val="Standardnpsmoodstavce"/>
    <w:rsid w:val="001E319F"/>
  </w:style>
  <w:style w:type="character" w:customStyle="1" w:styleId="apple-converted-space">
    <w:name w:val="apple-converted-space"/>
    <w:basedOn w:val="Standardnpsmoodstavce"/>
    <w:rsid w:val="00956D92"/>
  </w:style>
  <w:style w:type="paragraph" w:styleId="Normlnweb">
    <w:name w:val="Normal (Web)"/>
    <w:basedOn w:val="Normln"/>
    <w:uiPriority w:val="99"/>
    <w:unhideWhenUsed/>
    <w:rsid w:val="00D620D8"/>
    <w:pPr>
      <w:spacing w:before="120" w:after="120" w:line="260" w:lineRule="atLeast"/>
      <w:jc w:val="both"/>
    </w:pPr>
  </w:style>
  <w:style w:type="paragraph" w:styleId="Revize">
    <w:name w:val="Revision"/>
    <w:hidden/>
    <w:uiPriority w:val="99"/>
    <w:semiHidden/>
    <w:rsid w:val="00A029CA"/>
    <w:rPr>
      <w:sz w:val="24"/>
      <w:szCs w:val="24"/>
    </w:rPr>
  </w:style>
  <w:style w:type="character" w:customStyle="1" w:styleId="st">
    <w:name w:val="st"/>
    <w:rsid w:val="001735BF"/>
  </w:style>
  <w:style w:type="paragraph" w:customStyle="1" w:styleId="Odstavecseseznamem1">
    <w:name w:val="Odstavec se seznamem1"/>
    <w:basedOn w:val="Normln"/>
    <w:rsid w:val="00E165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005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Normln"/>
    <w:next w:val="Normln"/>
    <w:uiPriority w:val="99"/>
    <w:rsid w:val="001E6EDA"/>
    <w:pPr>
      <w:autoSpaceDE w:val="0"/>
      <w:autoSpaceDN w:val="0"/>
      <w:adjustRightInd w:val="0"/>
      <w:spacing w:line="241" w:lineRule="atLeast"/>
    </w:pPr>
    <w:rPr>
      <w:rFonts w:ascii="PIFranklinGothicBookCond" w:hAnsi="PIFranklinGothicBookCond"/>
    </w:rPr>
  </w:style>
  <w:style w:type="character" w:customStyle="1" w:styleId="A7">
    <w:name w:val="A7"/>
    <w:uiPriority w:val="99"/>
    <w:rsid w:val="001E6EDA"/>
    <w:rPr>
      <w:rFonts w:cs="PIFranklinGothicBookCond"/>
      <w:color w:val="003C68"/>
      <w:sz w:val="12"/>
      <w:szCs w:val="12"/>
    </w:rPr>
  </w:style>
  <w:style w:type="character" w:customStyle="1" w:styleId="A15">
    <w:name w:val="A15"/>
    <w:uiPriority w:val="99"/>
    <w:rsid w:val="001E6EDA"/>
    <w:rPr>
      <w:rFonts w:cs="PIFranklinGothicBookCond"/>
      <w:color w:val="003C68"/>
      <w:sz w:val="10"/>
      <w:szCs w:val="10"/>
    </w:rPr>
  </w:style>
  <w:style w:type="paragraph" w:customStyle="1" w:styleId="Default">
    <w:name w:val="Default"/>
    <w:rsid w:val="00DD759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B730E0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B66CA2"/>
    <w:pPr>
      <w:ind w:left="720"/>
    </w:pPr>
    <w:rPr>
      <w:rFonts w:eastAsia="Calibri"/>
    </w:rPr>
  </w:style>
  <w:style w:type="paragraph" w:styleId="Bezmezer">
    <w:name w:val="No Spacing"/>
    <w:basedOn w:val="Normln"/>
    <w:uiPriority w:val="1"/>
    <w:qFormat/>
    <w:rsid w:val="005E6284"/>
    <w:rPr>
      <w:rFonts w:ascii="Calibri" w:eastAsiaTheme="minorHAnsi" w:hAnsi="Calibri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C450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C4500B"/>
    <w:pPr>
      <w:ind w:firstLine="709"/>
    </w:pPr>
    <w:rPr>
      <w:rFonts w:ascii="Calibri" w:eastAsiaTheme="minorHAnsi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4500B"/>
    <w:rPr>
      <w:rFonts w:ascii="Calibri" w:eastAsiaTheme="minorHAnsi" w:hAnsi="Calibri"/>
    </w:rPr>
  </w:style>
  <w:style w:type="character" w:styleId="Znakapoznpodarou">
    <w:name w:val="footnote reference"/>
    <w:basedOn w:val="Standardnpsmoodstavce"/>
    <w:unhideWhenUsed/>
    <w:rsid w:val="00C4500B"/>
    <w:rPr>
      <w:vertAlign w:val="superscript"/>
    </w:rPr>
  </w:style>
  <w:style w:type="paragraph" w:styleId="Zpat">
    <w:name w:val="footer"/>
    <w:basedOn w:val="Normln"/>
    <w:link w:val="ZpatChar"/>
    <w:rsid w:val="00D21F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21F1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EB6168"/>
    <w:pPr>
      <w:spacing w:after="240"/>
    </w:pPr>
    <w:rPr>
      <w:rFonts w:eastAsiaTheme="minorHAnsi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B6168"/>
    <w:rPr>
      <w:rFonts w:eastAsiaTheme="minorHAnsi"/>
      <w:sz w:val="24"/>
      <w:szCs w:val="24"/>
      <w:lang w:eastAsia="en-US"/>
    </w:rPr>
  </w:style>
  <w:style w:type="paragraph" w:styleId="Textvysvtlivek">
    <w:name w:val="endnote text"/>
    <w:basedOn w:val="Normln"/>
    <w:link w:val="TextvysvtlivekChar"/>
    <w:semiHidden/>
    <w:unhideWhenUsed/>
    <w:rsid w:val="002A5E1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2A5E1F"/>
  </w:style>
  <w:style w:type="character" w:styleId="Odkaznavysvtlivky">
    <w:name w:val="endnote reference"/>
    <w:basedOn w:val="Standardnpsmoodstavce"/>
    <w:semiHidden/>
    <w:unhideWhenUsed/>
    <w:rsid w:val="002A5E1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6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7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7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6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9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74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79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83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96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74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73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66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0852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36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074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mundi.cz" TargetMode="External"/><Relationship Id="rId18" Type="http://schemas.openxmlformats.org/officeDocument/2006/relationships/hyperlink" Target="mailto:tereza.schneiderova@stance.cz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amundi.cz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mundi-kb.cz" TargetMode="External"/><Relationship Id="rId17" Type="http://schemas.openxmlformats.org/officeDocument/2006/relationships/hyperlink" Target="http://www.amundi.cz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dana.krynska@amundi.com" TargetMode="External"/><Relationship Id="rId20" Type="http://schemas.openxmlformats.org/officeDocument/2006/relationships/hyperlink" Target="http://www.amundi-kb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cr@amundi.com" TargetMode="External"/><Relationship Id="rId24" Type="http://schemas.openxmlformats.org/officeDocument/2006/relationships/hyperlink" Target="http://www.amundi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http://www.amundi-kb.cz" TargetMode="External"/><Relationship Id="rId10" Type="http://schemas.openxmlformats.org/officeDocument/2006/relationships/hyperlink" Target="http://www.amundi.cz" TargetMode="External"/><Relationship Id="rId19" Type="http://schemas.openxmlformats.org/officeDocument/2006/relationships/hyperlink" Target="http://www.stance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undi-kb.cz" TargetMode="External"/><Relationship Id="rId14" Type="http://schemas.openxmlformats.org/officeDocument/2006/relationships/hyperlink" Target="http://www.amundi.com/" TargetMode="External"/><Relationship Id="rId22" Type="http://schemas.openxmlformats.org/officeDocument/2006/relationships/hyperlink" Target="mailto:infocr@amundi.com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3E002-0F55-4692-9E5A-E7EE6AB1F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1428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Pioneer Investments představuje klíčové posily v novém centru pro rozvíjející se trhy v Londýně</vt:lpstr>
    </vt:vector>
  </TitlesOfParts>
  <Company>Pioneer Investments</Company>
  <LinksUpToDate>false</LinksUpToDate>
  <CharactersWithSpaces>10704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Pioneer Investments představuje klíčové posily v novém centru pro rozvíjející se trhy v Londýně</dc:title>
  <dc:creator>havlicek</dc:creator>
  <cp:lastModifiedBy>tereza.schneiderova</cp:lastModifiedBy>
  <cp:revision>3</cp:revision>
  <cp:lastPrinted>2017-11-28T14:31:00Z</cp:lastPrinted>
  <dcterms:created xsi:type="dcterms:W3CDTF">2019-05-09T14:40:00Z</dcterms:created>
  <dcterms:modified xsi:type="dcterms:W3CDTF">2019-05-09T14:41:00Z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