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E7C2C" w14:textId="77777777" w:rsidR="00592AAB" w:rsidRPr="00B06DAE" w:rsidRDefault="00592AAB" w:rsidP="00592AAB">
      <w:pPr>
        <w:jc w:val="right"/>
        <w:rPr>
          <w:rFonts w:ascii="Arial" w:hAnsi="Arial" w:cs="Arial"/>
          <w:b/>
          <w:bCs/>
          <w:sz w:val="16"/>
          <w:szCs w:val="16"/>
          <w:lang w:val="cs-CZ"/>
        </w:rPr>
      </w:pPr>
    </w:p>
    <w:p w14:paraId="707E6ED6" w14:textId="77777777" w:rsidR="00592AAB" w:rsidRPr="00B06DAE" w:rsidRDefault="00592AAB" w:rsidP="00B47CE0">
      <w:pPr>
        <w:rPr>
          <w:rFonts w:ascii="Arial" w:hAnsi="Arial" w:cs="Arial"/>
          <w:b/>
          <w:bCs/>
          <w:sz w:val="16"/>
          <w:szCs w:val="16"/>
          <w:lang w:val="cs-CZ"/>
        </w:rPr>
      </w:pPr>
    </w:p>
    <w:p w14:paraId="3D6EF331" w14:textId="0FE924E9" w:rsidR="00CD0303" w:rsidRPr="00B06DAE" w:rsidRDefault="00726ECF" w:rsidP="00726ECF">
      <w:pPr>
        <w:tabs>
          <w:tab w:val="left" w:pos="375"/>
          <w:tab w:val="right" w:pos="10204"/>
        </w:tabs>
        <w:rPr>
          <w:rFonts w:ascii="Arial" w:hAnsi="Arial" w:cs="Arial"/>
          <w:b/>
          <w:bCs/>
          <w:sz w:val="16"/>
          <w:szCs w:val="16"/>
          <w:lang w:val="cs-CZ"/>
        </w:rPr>
      </w:pPr>
      <w:r>
        <w:rPr>
          <w:rFonts w:ascii="Arial" w:hAnsi="Arial" w:cs="Arial"/>
          <w:b/>
          <w:bCs/>
          <w:sz w:val="16"/>
          <w:szCs w:val="16"/>
          <w:lang w:val="cs-CZ"/>
        </w:rPr>
        <w:tab/>
      </w:r>
      <w:r>
        <w:rPr>
          <w:rFonts w:ascii="Arial" w:hAnsi="Arial" w:cs="Arial"/>
          <w:b/>
          <w:bCs/>
          <w:sz w:val="16"/>
          <w:szCs w:val="16"/>
          <w:lang w:val="cs-CZ"/>
        </w:rPr>
        <w:tab/>
      </w:r>
      <w:r w:rsidR="00321EF3" w:rsidRPr="00B06DAE">
        <w:rPr>
          <w:rFonts w:ascii="Arial" w:hAnsi="Arial" w:cs="Arial"/>
          <w:b/>
          <w:bCs/>
          <w:sz w:val="16"/>
          <w:szCs w:val="16"/>
          <w:lang w:val="cs-CZ"/>
        </w:rPr>
        <w:t>Praha</w:t>
      </w:r>
      <w:r w:rsidR="00592AAB" w:rsidRPr="00B06DAE">
        <w:rPr>
          <w:rFonts w:ascii="Arial" w:hAnsi="Arial" w:cs="Arial"/>
          <w:b/>
          <w:bCs/>
          <w:sz w:val="16"/>
          <w:szCs w:val="16"/>
          <w:lang w:val="cs-CZ"/>
        </w:rPr>
        <w:t xml:space="preserve">, </w:t>
      </w:r>
      <w:r w:rsidR="006523A0">
        <w:rPr>
          <w:rFonts w:ascii="Arial" w:hAnsi="Arial" w:cs="Arial"/>
          <w:b/>
          <w:bCs/>
          <w:sz w:val="16"/>
          <w:szCs w:val="16"/>
          <w:lang w:val="cs-CZ"/>
        </w:rPr>
        <w:t>21</w:t>
      </w:r>
      <w:r w:rsidR="00592AAB" w:rsidRPr="00B06DAE">
        <w:rPr>
          <w:rFonts w:ascii="Arial" w:hAnsi="Arial" w:cs="Arial"/>
          <w:b/>
          <w:bCs/>
          <w:sz w:val="16"/>
          <w:szCs w:val="16"/>
          <w:lang w:val="cs-CZ"/>
        </w:rPr>
        <w:t xml:space="preserve">. </w:t>
      </w:r>
      <w:r w:rsidR="006523A0">
        <w:rPr>
          <w:rFonts w:ascii="Arial" w:hAnsi="Arial" w:cs="Arial"/>
          <w:b/>
          <w:bCs/>
          <w:sz w:val="16"/>
          <w:szCs w:val="16"/>
          <w:lang w:val="cs-CZ"/>
        </w:rPr>
        <w:t>ř</w:t>
      </w:r>
      <w:r w:rsidR="00321EF3" w:rsidRPr="00B06DAE">
        <w:rPr>
          <w:rFonts w:ascii="Arial" w:hAnsi="Arial" w:cs="Arial"/>
          <w:b/>
          <w:bCs/>
          <w:sz w:val="16"/>
          <w:szCs w:val="16"/>
          <w:lang w:val="cs-CZ"/>
        </w:rPr>
        <w:t>íj</w:t>
      </w:r>
      <w:r w:rsidR="00E329E7">
        <w:rPr>
          <w:rFonts w:ascii="Arial" w:hAnsi="Arial" w:cs="Arial"/>
          <w:b/>
          <w:bCs/>
          <w:sz w:val="16"/>
          <w:szCs w:val="16"/>
          <w:lang w:val="cs-CZ"/>
        </w:rPr>
        <w:t>na</w:t>
      </w:r>
      <w:r w:rsidR="7B56D963" w:rsidRPr="00B06DAE">
        <w:rPr>
          <w:rFonts w:ascii="Arial" w:hAnsi="Arial" w:cs="Arial"/>
          <w:b/>
          <w:bCs/>
          <w:sz w:val="16"/>
          <w:szCs w:val="16"/>
          <w:lang w:val="cs-CZ"/>
        </w:rPr>
        <w:t xml:space="preserve"> </w:t>
      </w:r>
      <w:r w:rsidR="00592AAB" w:rsidRPr="00B06DAE">
        <w:rPr>
          <w:rFonts w:ascii="Arial" w:hAnsi="Arial" w:cs="Arial"/>
          <w:b/>
          <w:bCs/>
          <w:sz w:val="16"/>
          <w:szCs w:val="16"/>
          <w:lang w:val="cs-CZ"/>
        </w:rPr>
        <w:t>2026</w:t>
      </w:r>
    </w:p>
    <w:p w14:paraId="64746468" w14:textId="77777777" w:rsidR="00592AAB" w:rsidRPr="00B06DAE" w:rsidRDefault="00592AAB" w:rsidP="00592AAB">
      <w:pPr>
        <w:jc w:val="right"/>
        <w:rPr>
          <w:rFonts w:ascii="Arial" w:hAnsi="Arial" w:cs="Arial"/>
          <w:sz w:val="16"/>
          <w:szCs w:val="16"/>
          <w:lang w:val="cs-CZ"/>
        </w:rPr>
      </w:pPr>
    </w:p>
    <w:p w14:paraId="603CE02B" w14:textId="77777777" w:rsidR="00592AAB" w:rsidRPr="00B06DAE" w:rsidRDefault="00592AAB" w:rsidP="00592AAB">
      <w:pPr>
        <w:jc w:val="right"/>
        <w:rPr>
          <w:rFonts w:ascii="Arial" w:hAnsi="Arial" w:cs="Arial"/>
          <w:sz w:val="16"/>
          <w:szCs w:val="16"/>
          <w:lang w:val="cs-CZ"/>
        </w:rPr>
      </w:pPr>
    </w:p>
    <w:p w14:paraId="2D8A5832" w14:textId="623647EF" w:rsidR="00DB1D9E" w:rsidRPr="00BB0A2F" w:rsidRDefault="00DB1D9E" w:rsidP="5D8D8347">
      <w:pPr>
        <w:shd w:val="clear" w:color="auto" w:fill="FFFFFF" w:themeFill="background1"/>
        <w:spacing w:before="240" w:after="0" w:line="240" w:lineRule="auto"/>
        <w:jc w:val="both"/>
        <w:rPr>
          <w:rFonts w:ascii="Arial" w:hAnsi="Arial" w:cs="Arial"/>
          <w:sz w:val="28"/>
          <w:szCs w:val="28"/>
          <w:lang w:val="cs-CZ"/>
        </w:rPr>
      </w:pPr>
      <w:r w:rsidRPr="5D8D8347">
        <w:rPr>
          <w:rFonts w:ascii="Arial" w:hAnsi="Arial" w:cs="Arial"/>
          <w:sz w:val="28"/>
          <w:szCs w:val="28"/>
          <w:lang w:val="cs-CZ"/>
        </w:rPr>
        <w:t>Penta buduje zdravotnickou infrastrukturu desítky let. Nový fond ji nyní otevírá investorům</w:t>
      </w:r>
    </w:p>
    <w:p w14:paraId="41947020" w14:textId="0A37C9A2" w:rsidR="00A54A6F" w:rsidRPr="00404127" w:rsidRDefault="008377DB" w:rsidP="00FE2290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</w:pPr>
      <w:r w:rsidRPr="00BB0A2F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 xml:space="preserve">Penta Fund rozšiřuje svou </w:t>
      </w:r>
      <w:r w:rsidR="00404127" w:rsidRPr="00BB0A2F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 xml:space="preserve">investiční </w:t>
      </w:r>
      <w:r w:rsidRPr="00BB0A2F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>nabídku o</w:t>
      </w:r>
      <w:r w:rsidR="00404127" w:rsidRPr="00BB0A2F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> třetí fond</w:t>
      </w:r>
      <w:r w:rsidR="001A7399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>.</w:t>
      </w:r>
      <w:r w:rsidR="00404127" w:rsidRPr="00BB0A2F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r w:rsidRPr="00BB0A2F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 xml:space="preserve">Penta </w:t>
      </w:r>
      <w:proofErr w:type="spellStart"/>
      <w:r w:rsidRPr="00BB0A2F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>Healthcare</w:t>
      </w:r>
      <w:proofErr w:type="spellEnd"/>
      <w:r w:rsidRPr="00BB0A2F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proofErr w:type="spellStart"/>
      <w:r w:rsidRPr="00BB0A2F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>Infrastructure</w:t>
      </w:r>
      <w:proofErr w:type="spellEnd"/>
      <w:r w:rsidRPr="00BB0A2F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 xml:space="preserve"> Fund</w:t>
      </w:r>
      <w:r w:rsidR="001A7399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r w:rsidR="00404127" w:rsidRPr="00BB0A2F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 xml:space="preserve">umožní </w:t>
      </w:r>
      <w:r w:rsidR="00022806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>investorům podílet se na rozvo</w:t>
      </w:r>
      <w:r w:rsidR="004165F5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>ji</w:t>
      </w:r>
      <w:r w:rsidR="00022806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r w:rsidR="00A40DFD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 xml:space="preserve">zdravotnické infrastruktury </w:t>
      </w:r>
      <w:r w:rsidR="004165F5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>prostřednictvím</w:t>
      </w:r>
      <w:r w:rsidR="00404127" w:rsidRPr="00BB0A2F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 xml:space="preserve"> širokého portfolia zdravotnických nemovitostí v České republice </w:t>
      </w:r>
      <w:r w:rsidR="00881E3F" w:rsidRPr="00881E3F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 xml:space="preserve">s dlouhodobě stabilními příjmy z nájemného. </w:t>
      </w:r>
      <w:r w:rsidR="00CD7ED8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>F</w:t>
      </w:r>
      <w:r w:rsidR="00881E3F" w:rsidRPr="00881E3F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>ond cílí na výnos 7 % ročně.</w:t>
      </w:r>
    </w:p>
    <w:p w14:paraId="5FB1DB7E" w14:textId="00623B77" w:rsidR="00CD7ED8" w:rsidRDefault="003C57CE" w:rsidP="00D47005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</w:pPr>
      <w:r w:rsidRPr="003C57CE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Stárnutí populace patří mezi nejvýznamnější demografické trendy současnosti a dlouhodobě zvyšuje poptávku po zdravotních a sociálních službách. </w:t>
      </w:r>
      <w:r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Investiční skupina </w:t>
      </w:r>
      <w:r w:rsidRPr="003C57CE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Penta na tento vývoj reaguje prostřednictvím Penta </w:t>
      </w:r>
      <w:proofErr w:type="spellStart"/>
      <w:r w:rsidRPr="003C57CE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Hospitals</w:t>
      </w:r>
      <w:proofErr w:type="spellEnd"/>
      <w:r w:rsidR="00CD7ED8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International</w:t>
      </w:r>
      <w:r w:rsidRPr="003C57CE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, </w:t>
      </w:r>
      <w:r w:rsidR="00CD7ED8" w:rsidRPr="00CD7ED8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přední</w:t>
      </w:r>
      <w:r w:rsidR="00CD7ED8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ho</w:t>
      </w:r>
      <w:r w:rsidR="00CD7ED8" w:rsidRPr="00CD7ED8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poskytovatel</w:t>
      </w:r>
      <w:r w:rsidR="00CD7ED8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e</w:t>
      </w:r>
      <w:r w:rsidR="00CD7ED8" w:rsidRPr="00CD7ED8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zdravotní a dlouhodobé péče ve střední Evropě a Pobaltí</w:t>
      </w:r>
      <w:r w:rsidR="00CD7ED8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. Provozuje</w:t>
      </w:r>
      <w:r w:rsidR="00CD7ED8" w:rsidRPr="00BB0A2F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53</w:t>
      </w:r>
      <w:r w:rsidR="00C8504F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 </w:t>
      </w:r>
      <w:r w:rsidR="00CD7ED8" w:rsidRPr="00BB0A2F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nemocnic, 62 poliklinik, 77 zařízení péče o seniory</w:t>
      </w:r>
      <w:r w:rsidR="00CD7ED8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, </w:t>
      </w:r>
      <w:r w:rsidR="00CD7ED8" w:rsidRPr="00BB0A2F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8 poskytovatel</w:t>
      </w:r>
      <w:r w:rsidR="00CD7ED8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ů</w:t>
      </w:r>
      <w:r w:rsidR="00CD7ED8" w:rsidRPr="00BB0A2F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domácí péče a </w:t>
      </w:r>
      <w:r w:rsidR="00CD7ED8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zaměstnává </w:t>
      </w:r>
      <w:r w:rsidR="00CD7ED8" w:rsidRPr="00BB0A2F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více než 25 000 </w:t>
      </w:r>
      <w:r w:rsidR="00CD7ED8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lidí.</w:t>
      </w:r>
      <w:r w:rsidR="00CD7ED8" w:rsidRPr="00BB0A2F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</w:p>
    <w:p w14:paraId="558EDEE0" w14:textId="3E7528D8" w:rsidR="00F867AD" w:rsidRDefault="00677913" w:rsidP="00CD7ED8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</w:pPr>
      <w:r w:rsidRPr="00677913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Penta </w:t>
      </w:r>
      <w:proofErr w:type="spellStart"/>
      <w:r w:rsidRPr="00677913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Healthcare</w:t>
      </w:r>
      <w:proofErr w:type="spellEnd"/>
      <w:r w:rsidRPr="00677913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proofErr w:type="spellStart"/>
      <w:r w:rsidRPr="00677913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Infrastructure</w:t>
      </w:r>
      <w:proofErr w:type="spellEnd"/>
      <w:r w:rsidRPr="00677913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Fund na toto zázemí přímo navazuje a staví na dlouholeté zkušenosti skupiny Penta s investicemi do zdravotnictví i provozem zdravotnických zařízení</w:t>
      </w:r>
      <w:r w:rsidR="00CD7ED8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.</w:t>
      </w:r>
      <w:r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r w:rsidR="00CD7ED8" w:rsidRPr="00BB0A2F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„</w:t>
      </w:r>
      <w:r w:rsidRPr="00677913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Zdravotnick</w:t>
      </w:r>
      <w:r w:rsidR="00BB4F1E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ou</w:t>
      </w:r>
      <w:r w:rsidRPr="00677913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r w:rsidR="00BB4F1E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infrastrukturu</w:t>
      </w:r>
      <w:r w:rsidR="00BB4F1E" w:rsidRPr="00677913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r w:rsidRPr="00677913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vnímáme jako stabilní segment. Stárnutí populace bude i v dalších letech zvyšovat potřebu zdravotní a sociální péče a tím i</w:t>
      </w:r>
      <w:r w:rsidR="00122CC3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 </w:t>
      </w:r>
      <w:r w:rsidRPr="00677913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kvalitní infrastruktury, ve které je poskytována. Nový fond investorům umožní podílet se na jejím rozvoji a zároveň rozšířit své portfolio o další typ reálných aktiv. Penta </w:t>
      </w:r>
      <w:proofErr w:type="spellStart"/>
      <w:r w:rsidRPr="00677913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Healthcare</w:t>
      </w:r>
      <w:proofErr w:type="spellEnd"/>
      <w:r w:rsidRPr="00677913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proofErr w:type="spellStart"/>
      <w:r w:rsidRPr="00677913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Infrastructure</w:t>
      </w:r>
      <w:proofErr w:type="spellEnd"/>
      <w:r w:rsidRPr="00677913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Fund tak přirozeně doplňuje naši stávající nabídku a je určen investorům, kteří hledají dlouhodobou investici se stabilním výnosovým profilem</w:t>
      </w:r>
      <w:r w:rsidR="00CD7ED8" w:rsidRPr="00BB0A2F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,“</w:t>
      </w:r>
      <w:r w:rsidR="00CD7ED8" w:rsidRPr="00CD7ED8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říká Tomáš </w:t>
      </w:r>
      <w:proofErr w:type="spellStart"/>
      <w:r w:rsidR="00CD7ED8" w:rsidRPr="00CD7ED8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Hochmeister</w:t>
      </w:r>
      <w:proofErr w:type="spellEnd"/>
      <w:r w:rsidR="00CD7ED8" w:rsidRPr="00CD7ED8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, CEO Penta Fund.</w:t>
      </w:r>
    </w:p>
    <w:p w14:paraId="5C820640" w14:textId="030A81C0" w:rsidR="00402901" w:rsidRDefault="008479D6" w:rsidP="5D8D8347">
      <w:pPr>
        <w:shd w:val="clear" w:color="auto" w:fill="FFFFFF" w:themeFill="background1"/>
        <w:spacing w:before="240" w:after="0" w:line="240" w:lineRule="auto"/>
        <w:jc w:val="both"/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</w:pPr>
      <w:r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>Více než 20</w:t>
      </w:r>
      <w:r w:rsidRPr="00235E5B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 xml:space="preserve"> nemovitostí</w:t>
      </w:r>
      <w:r w:rsidR="00402901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 xml:space="preserve"> v portfoliu fondu</w:t>
      </w:r>
    </w:p>
    <w:p w14:paraId="29BB3650" w14:textId="2AEAD5BF" w:rsidR="00677913" w:rsidRPr="00235E5B" w:rsidRDefault="00402901" w:rsidP="5D8D8347">
      <w:pPr>
        <w:shd w:val="clear" w:color="auto" w:fill="FFFFFF" w:themeFill="background1"/>
        <w:spacing w:before="240" w:after="0" w:line="240" w:lineRule="auto"/>
        <w:jc w:val="both"/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</w:pPr>
      <w:r w:rsidRPr="00235E5B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F</w:t>
      </w:r>
      <w:r w:rsidR="00677913" w:rsidRPr="00677913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ond tvoří od prvního dne 22 nemovitostí</w:t>
      </w:r>
      <w:r w:rsidR="00E329E7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v České republice</w:t>
      </w:r>
      <w:r w:rsidR="00677913" w:rsidRPr="00677913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– </w:t>
      </w:r>
      <w:r w:rsidR="00E55D2B" w:rsidRPr="5D8D8347">
        <w:rPr>
          <w:rFonts w:ascii="Arial" w:eastAsia="Times New Roman" w:hAnsi="Arial" w:cs="Arial"/>
          <w:color w:val="404040" w:themeColor="text1" w:themeTint="BF"/>
          <w:sz w:val="20"/>
          <w:szCs w:val="20"/>
          <w:lang w:val="cs-CZ" w:eastAsia="sk-SK"/>
        </w:rPr>
        <w:t>budov</w:t>
      </w:r>
      <w:r w:rsidR="008479D6">
        <w:rPr>
          <w:rFonts w:ascii="Arial" w:eastAsia="Times New Roman" w:hAnsi="Arial" w:cs="Arial"/>
          <w:color w:val="404040" w:themeColor="text1" w:themeTint="BF"/>
          <w:sz w:val="20"/>
          <w:szCs w:val="20"/>
          <w:lang w:val="cs-CZ" w:eastAsia="sk-SK"/>
        </w:rPr>
        <w:t>a</w:t>
      </w:r>
      <w:r w:rsidR="00677913" w:rsidRPr="00677913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r w:rsidR="001A3B1C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K</w:t>
      </w:r>
      <w:r w:rsidR="00677913" w:rsidRPr="00677913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linik</w:t>
      </w:r>
      <w:r w:rsidR="00D24427" w:rsidRPr="5D8D8347">
        <w:rPr>
          <w:rFonts w:ascii="Arial" w:eastAsia="Times New Roman" w:hAnsi="Arial" w:cs="Arial"/>
          <w:color w:val="404040" w:themeColor="text1" w:themeTint="BF"/>
          <w:sz w:val="20"/>
          <w:szCs w:val="20"/>
          <w:lang w:val="cs-CZ" w:eastAsia="sk-SK"/>
        </w:rPr>
        <w:t>y Dr.</w:t>
      </w:r>
      <w:r>
        <w:rPr>
          <w:rFonts w:ascii="Arial" w:eastAsia="Times New Roman" w:hAnsi="Arial" w:cs="Arial"/>
          <w:color w:val="404040" w:themeColor="text1" w:themeTint="BF"/>
          <w:sz w:val="20"/>
          <w:szCs w:val="20"/>
          <w:lang w:val="cs-CZ" w:eastAsia="sk-SK"/>
        </w:rPr>
        <w:t xml:space="preserve"> </w:t>
      </w:r>
      <w:r w:rsidR="00D24427" w:rsidRPr="5D8D8347">
        <w:rPr>
          <w:rFonts w:ascii="Arial" w:eastAsia="Times New Roman" w:hAnsi="Arial" w:cs="Arial"/>
          <w:color w:val="404040" w:themeColor="text1" w:themeTint="BF"/>
          <w:sz w:val="20"/>
          <w:szCs w:val="20"/>
          <w:lang w:val="cs-CZ" w:eastAsia="sk-SK"/>
        </w:rPr>
        <w:t>Pírka</w:t>
      </w:r>
      <w:r w:rsidR="00677913" w:rsidRPr="00677913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r w:rsidR="008479D6">
        <w:rPr>
          <w:rFonts w:ascii="Arial" w:eastAsia="Times New Roman" w:hAnsi="Arial" w:cs="Arial"/>
          <w:color w:val="404040" w:themeColor="text1" w:themeTint="BF"/>
          <w:sz w:val="20"/>
          <w:szCs w:val="20"/>
          <w:lang w:val="cs-CZ" w:eastAsia="sk-SK"/>
        </w:rPr>
        <w:t xml:space="preserve">a </w:t>
      </w:r>
      <w:r w:rsidR="00B6756D" w:rsidRPr="5D8D8347">
        <w:rPr>
          <w:rFonts w:ascii="Arial" w:eastAsia="Times New Roman" w:hAnsi="Arial" w:cs="Arial"/>
          <w:color w:val="404040" w:themeColor="text1" w:themeTint="BF"/>
          <w:sz w:val="20"/>
          <w:szCs w:val="20"/>
          <w:lang w:val="cs-CZ" w:eastAsia="sk-SK"/>
        </w:rPr>
        <w:t>nemovitostní portfoli</w:t>
      </w:r>
      <w:r w:rsidR="008479D6">
        <w:rPr>
          <w:rFonts w:ascii="Arial" w:eastAsia="Times New Roman" w:hAnsi="Arial" w:cs="Arial"/>
          <w:color w:val="404040" w:themeColor="text1" w:themeTint="BF"/>
          <w:sz w:val="20"/>
          <w:szCs w:val="20"/>
          <w:lang w:val="cs-CZ" w:eastAsia="sk-SK"/>
        </w:rPr>
        <w:t>o</w:t>
      </w:r>
      <w:r w:rsidR="00B6756D" w:rsidRPr="5D8D8347">
        <w:rPr>
          <w:rFonts w:ascii="Arial" w:eastAsia="Times New Roman" w:hAnsi="Arial" w:cs="Arial"/>
          <w:color w:val="404040" w:themeColor="text1" w:themeTint="BF"/>
          <w:sz w:val="20"/>
          <w:szCs w:val="20"/>
          <w:lang w:val="cs-CZ" w:eastAsia="sk-SK"/>
        </w:rPr>
        <w:t xml:space="preserve"> zařízení </w:t>
      </w:r>
      <w:proofErr w:type="spellStart"/>
      <w:r w:rsidR="00B6756D" w:rsidRPr="5D8D8347">
        <w:rPr>
          <w:rFonts w:ascii="Arial" w:eastAsia="Times New Roman" w:hAnsi="Arial" w:cs="Arial"/>
          <w:color w:val="404040" w:themeColor="text1" w:themeTint="BF"/>
          <w:sz w:val="20"/>
          <w:szCs w:val="20"/>
          <w:lang w:val="cs-CZ" w:eastAsia="sk-SK"/>
        </w:rPr>
        <w:t>Senevida</w:t>
      </w:r>
      <w:proofErr w:type="spellEnd"/>
      <w:r w:rsidR="00FD69B4" w:rsidRPr="5D8D8347">
        <w:rPr>
          <w:rFonts w:ascii="Arial" w:eastAsia="Times New Roman" w:hAnsi="Arial" w:cs="Arial"/>
          <w:color w:val="404040" w:themeColor="text1" w:themeTint="BF"/>
          <w:sz w:val="20"/>
          <w:szCs w:val="20"/>
          <w:lang w:val="cs-CZ" w:eastAsia="sk-SK"/>
        </w:rPr>
        <w:t>.</w:t>
      </w:r>
    </w:p>
    <w:p w14:paraId="02EFE9FD" w14:textId="37BCE9EC" w:rsidR="00677913" w:rsidRPr="00B06DAE" w:rsidRDefault="00677913" w:rsidP="00B06DAE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</w:pPr>
      <w:r w:rsidRPr="00677913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>Výnos fondu stojí především na dlouhodobých příjmech z</w:t>
      </w:r>
      <w:r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> </w:t>
      </w:r>
      <w:r w:rsidRPr="00677913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>nájemného</w:t>
      </w:r>
    </w:p>
    <w:p w14:paraId="6F9B15D3" w14:textId="6E3478B1" w:rsidR="008B6B78" w:rsidRDefault="00677913" w:rsidP="00416634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</w:pPr>
      <w:r w:rsidRPr="00677913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Příjmy fondu budou plynout především z dlouhodobého pronájmu nemovitostí provozovatelům zdravotních a</w:t>
      </w:r>
      <w:r w:rsidR="00122CC3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 </w:t>
      </w:r>
      <w:r w:rsidRPr="00677913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sociálních služeb. Nájemní smlouvy jsou uzavírány na 25 let a výše nájemného je navázána na inflaci. K</w:t>
      </w:r>
      <w:r w:rsidR="00122CC3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 </w:t>
      </w:r>
      <w:r w:rsidRPr="00677913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celkovému zhodnocení fondu může přispět také růst hodnoty nemovitostí v portfoliu.</w:t>
      </w:r>
    </w:p>
    <w:p w14:paraId="0303AC3B" w14:textId="6E070D6B" w:rsidR="00BC744B" w:rsidRPr="00BB0A2F" w:rsidRDefault="0025148D" w:rsidP="4D5FB795">
      <w:pPr>
        <w:shd w:val="clear" w:color="auto" w:fill="FFFFFF" w:themeFill="background1"/>
        <w:spacing w:before="240" w:after="0" w:line="240" w:lineRule="auto"/>
        <w:jc w:val="both"/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</w:pPr>
      <w:r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„</w:t>
      </w:r>
      <w:r w:rsidR="00E845F2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Zdravotnick</w:t>
      </w:r>
      <w:r w:rsidR="009E7CAF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é</w:t>
      </w:r>
      <w:r w:rsidR="00E845F2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nemovitost</w:t>
      </w:r>
      <w:r w:rsidR="009E7CAF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i</w:t>
      </w:r>
      <w:r w:rsidR="00E845F2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m</w:t>
      </w:r>
      <w:r w:rsidR="009E7CAF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ají</w:t>
      </w:r>
      <w:r w:rsidR="00E845F2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řadu specifik, která běžn</w:t>
      </w:r>
      <w:r w:rsidR="009E7CAF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é</w:t>
      </w:r>
      <w:r w:rsidR="00E845F2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kancelářsk</w:t>
      </w:r>
      <w:r w:rsidR="009E7CAF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é</w:t>
      </w:r>
      <w:r w:rsidR="00E845F2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nebo rezidenční budov</w:t>
      </w:r>
      <w:r w:rsidR="009E7CAF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y</w:t>
      </w:r>
      <w:r w:rsidR="00E845F2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nem</w:t>
      </w:r>
      <w:r w:rsidR="009E7CAF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ají</w:t>
      </w:r>
      <w:r w:rsidR="00E845F2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.</w:t>
      </w:r>
      <w:r w:rsidR="00E845F2" w:rsidRPr="00F61FD7">
        <w:rPr>
          <w:rFonts w:ascii="Arial" w:eastAsia="Times New Roman" w:hAnsi="Arial" w:cs="Arial"/>
          <w:i/>
          <w:iCs/>
          <w:color w:val="404040" w:themeColor="text1" w:themeTint="BF"/>
          <w:sz w:val="20"/>
          <w:szCs w:val="20"/>
          <w:lang w:val="cs-CZ" w:eastAsia="sk-SK"/>
        </w:rPr>
        <w:t xml:space="preserve"> Musí odpovídat provozu zařízení, potřebám pacientů a klientů</w:t>
      </w:r>
      <w:r w:rsidR="009E7CAF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i</w:t>
      </w:r>
      <w:r w:rsidR="00E845F2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technologickým</w:t>
      </w:r>
      <w:r w:rsidR="00D17DF7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požadavkům</w:t>
      </w:r>
      <w:r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.</w:t>
      </w:r>
      <w:r w:rsidR="009E7CAF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Penta má </w:t>
      </w:r>
      <w:r w:rsidR="00BB0A2F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díky</w:t>
      </w:r>
      <w:r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r w:rsidR="009E7CAF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dlouholetému</w:t>
      </w:r>
      <w:r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r w:rsidR="009E7CAF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působení ve zdravotnictví zkušenost</w:t>
      </w:r>
      <w:r w:rsidR="00287247" w:rsidRPr="00F61FD7">
        <w:rPr>
          <w:rFonts w:ascii="Arial" w:eastAsia="Times New Roman" w:hAnsi="Arial" w:cs="Arial"/>
          <w:i/>
          <w:iCs/>
          <w:color w:val="404040" w:themeColor="text1" w:themeTint="BF"/>
          <w:sz w:val="20"/>
          <w:szCs w:val="20"/>
          <w:lang w:val="cs-CZ" w:eastAsia="sk-SK"/>
        </w:rPr>
        <w:t>i</w:t>
      </w:r>
      <w:r w:rsidR="009E7CAF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nejen s investicemi, ale prostřednictvím svých společností také s každodenním provozem těchto zařízení. </w:t>
      </w:r>
      <w:r w:rsidR="00BB0A2F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To nám umožňuje</w:t>
      </w:r>
      <w:r w:rsidR="009E7CAF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tato aktiva posuzovat nejen z realitního pohledu, ale i podle toho, zda budou dlouhodobě odpovídat potřebám zdravotní a sociální péče. Na tomto zázemí chceme portfolio fondu dál rozvíjet,</w:t>
      </w:r>
      <w:r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“</w:t>
      </w:r>
      <w:r w:rsidR="00BB0A2F" w:rsidRPr="00F61FD7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r w:rsidR="00BB0A2F" w:rsidRPr="00F61FD7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popisuje</w:t>
      </w:r>
      <w:r w:rsidR="009E7CAF" w:rsidRPr="00F61FD7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Václav Jirků,</w:t>
      </w:r>
      <w:r w:rsidR="009E7CAF" w:rsidRPr="009E7CAF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partner </w:t>
      </w:r>
      <w:r w:rsidR="00D17DF7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skupiny </w:t>
      </w:r>
      <w:r w:rsidR="009E7CAF" w:rsidRPr="009E7CAF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Penta</w:t>
      </w:r>
      <w:r w:rsidR="00D17DF7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r w:rsidR="00D17DF7" w:rsidRPr="00D17DF7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zodpovědný za zdravotnické portfolio</w:t>
      </w:r>
      <w:r w:rsidR="00D17DF7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. </w:t>
      </w:r>
    </w:p>
    <w:p w14:paraId="41B8CAC0" w14:textId="37015E4D" w:rsidR="009E7CAF" w:rsidRPr="00B06DAE" w:rsidRDefault="001A0C70" w:rsidP="00B06DAE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</w:pPr>
      <w:r w:rsidRPr="001A0C70">
        <w:rPr>
          <w:rFonts w:ascii="Arial" w:eastAsia="Times New Roman" w:hAnsi="Arial" w:cs="Arial"/>
          <w:b/>
          <w:bCs/>
          <w:color w:val="404040"/>
          <w:kern w:val="0"/>
          <w:sz w:val="20"/>
          <w:szCs w:val="20"/>
          <w:lang w:val="cs-CZ" w:eastAsia="sk-SK"/>
          <w14:ligatures w14:val="none"/>
        </w:rPr>
        <w:t>Stárnutí populace zvyšuje potřebu dalších kapacit</w:t>
      </w:r>
    </w:p>
    <w:p w14:paraId="54110466" w14:textId="28064BFC" w:rsidR="00BB0A2F" w:rsidRDefault="007A063F" w:rsidP="008431C2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</w:pPr>
      <w:r w:rsidRPr="007A063F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lastRenderedPageBreak/>
        <w:t>Význam zdravotnické a sociální infrastruktury poroste spolu s demografickým vývojem.</w:t>
      </w:r>
      <w:r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r w:rsidR="008431C2" w:rsidRPr="008431C2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Počet lidí ve věku 80 a více let má v Česku vzrůst z přibližně 427 tisíc v roce 2025 na zhruba 940 tisíc v roce 2050.</w:t>
      </w:r>
      <w:r w:rsidR="00AA1D81">
        <w:rPr>
          <w:rStyle w:val="FootnoteReference"/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footnoteReference w:id="1"/>
      </w:r>
      <w:r w:rsidR="00EE565A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r w:rsidR="008431C2" w:rsidRPr="008431C2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Současná kapacita činí přibližně 62 tisíc lůžek</w:t>
      </w:r>
      <w:r w:rsidR="00BB0A2F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. Pro zachování dnešního </w:t>
      </w:r>
      <w:r w:rsidR="008431C2" w:rsidRPr="008431C2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poměr</w:t>
      </w:r>
      <w:r w:rsidR="00BB0A2F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u</w:t>
      </w:r>
      <w:r w:rsidR="008431C2" w:rsidRPr="008431C2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kapacit k počtu seniorů</w:t>
      </w:r>
      <w:r w:rsidR="00BB0A2F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r w:rsidR="008431C2" w:rsidRPr="008431C2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by</w:t>
      </w:r>
      <w:r w:rsidR="00BB0A2F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proto</w:t>
      </w:r>
      <w:r w:rsidR="008431C2" w:rsidRPr="008431C2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r w:rsidR="00BB0A2F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bylo </w:t>
      </w:r>
      <w:r w:rsidR="008431C2" w:rsidRPr="008431C2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do roku 2050 potřeba vybudovat přibližně 74 tisíc nových lůžek.</w:t>
      </w:r>
      <w:r w:rsidR="00415150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</w:p>
    <w:p w14:paraId="6BE893B6" w14:textId="4C744F7B" w:rsidR="008431C2" w:rsidRPr="00BB0A2F" w:rsidRDefault="00BB0A2F" w:rsidP="008431C2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</w:pPr>
      <w:r w:rsidRPr="00BB0A2F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S rostoucím počtem lidí ve vyšších věkových skupinách se bude zvyšovat také poptávka po následné, dlouhodobé a sociální péči. Její dostupnost přitom nebude záviset jen na dostatku zdravotnického a pečovatelského personálu, ale také na množství a kvalitě zařízení, ve kterých může být poskytována.</w:t>
      </w:r>
    </w:p>
    <w:p w14:paraId="02CA3436" w14:textId="70DEBF6B" w:rsidR="00BB0A2F" w:rsidRPr="00DC08C6" w:rsidRDefault="001B7BBB" w:rsidP="008431C2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</w:pPr>
      <w:r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„</w:t>
      </w:r>
      <w:r w:rsidR="0077534D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Rozvoj zdravotní a sociální péče je úzce spojený s rozvojem </w:t>
      </w:r>
      <w:r w:rsidR="00BB0A2F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odpovídající </w:t>
      </w:r>
      <w:r w:rsidR="0077534D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infrastruktury. Nová zařízení vznikají v</w:t>
      </w:r>
      <w:r w:rsidR="00122CC3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 </w:t>
      </w:r>
      <w:r w:rsidR="0077534D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horizontu let a jejich příprava vyžaduje dlouhodobé plánování </w:t>
      </w:r>
      <w:r w:rsidR="00BB0A2F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i významné</w:t>
      </w:r>
      <w:r w:rsidR="0077534D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investice. Pokud chceme na demografický vývoj</w:t>
      </w:r>
      <w:r w:rsidR="00BB0A2F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reagovat</w:t>
      </w:r>
      <w:r w:rsidR="0077534D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, </w:t>
      </w:r>
      <w:r w:rsidR="00BB0A2F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musíme </w:t>
      </w:r>
      <w:r w:rsidR="0077534D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vytvářet </w:t>
      </w:r>
      <w:r w:rsidR="00BB0A2F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nové</w:t>
      </w:r>
      <w:r w:rsidR="0077534D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kapacity s dostatečným předstihem. Propojení zkušenost</w:t>
      </w:r>
      <w:r w:rsidR="00BB0A2F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í s</w:t>
      </w:r>
      <w:r w:rsidR="00122CC3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 </w:t>
      </w:r>
      <w:r w:rsidR="00BB0A2F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provozem zdravotnických zařízení</w:t>
      </w:r>
      <w:r w:rsidR="0077534D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 a kapitálu nám umožňuje připravovat projekty podle </w:t>
      </w:r>
      <w:r w:rsidR="00BB0A2F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 xml:space="preserve">skutečných </w:t>
      </w:r>
      <w:r w:rsidR="0077534D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potřeb péče</w:t>
      </w:r>
      <w:r w:rsidR="008431C2"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,</w:t>
      </w:r>
      <w:r w:rsidRPr="00DC08C6">
        <w:rPr>
          <w:rFonts w:ascii="Arial" w:eastAsia="Times New Roman" w:hAnsi="Arial" w:cs="Arial"/>
          <w:i/>
          <w:iCs/>
          <w:color w:val="404040"/>
          <w:kern w:val="0"/>
          <w:sz w:val="20"/>
          <w:szCs w:val="20"/>
          <w:lang w:val="cs-CZ" w:eastAsia="sk-SK"/>
          <w14:ligatures w14:val="none"/>
        </w:rPr>
        <w:t>“</w:t>
      </w:r>
      <w:r w:rsidR="008431C2" w:rsidRPr="00DC08C6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r w:rsidR="00F61FD7" w:rsidRPr="00DC08C6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vysvětluje</w:t>
      </w:r>
      <w:r w:rsidR="008431C2" w:rsidRPr="00DC08C6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B</w:t>
      </w:r>
      <w:r w:rsidR="00876BFB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arbora</w:t>
      </w:r>
      <w:r w:rsidR="008431C2" w:rsidRPr="00DC08C6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Vaculíková, CEO Penta </w:t>
      </w:r>
      <w:proofErr w:type="spellStart"/>
      <w:r w:rsidR="008431C2" w:rsidRPr="00DC08C6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Hospitals</w:t>
      </w:r>
      <w:proofErr w:type="spellEnd"/>
      <w:r w:rsidR="00BB0A2F" w:rsidRPr="00DC08C6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.</w:t>
      </w:r>
    </w:p>
    <w:p w14:paraId="1ACDEE38" w14:textId="3ACA77A7" w:rsidR="002A49FC" w:rsidRDefault="008431C2" w:rsidP="008431C2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</w:pPr>
      <w:r w:rsidRPr="00DC08C6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Investiční horizont </w:t>
      </w:r>
      <w:r w:rsidR="002A49FC" w:rsidRPr="00DC08C6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Penta </w:t>
      </w:r>
      <w:proofErr w:type="spellStart"/>
      <w:r w:rsidR="002A49FC" w:rsidRPr="00DC08C6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Healthcare</w:t>
      </w:r>
      <w:proofErr w:type="spellEnd"/>
      <w:r w:rsidR="002A49FC" w:rsidRPr="00DC08C6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  <w:proofErr w:type="spellStart"/>
      <w:r w:rsidR="002A49FC" w:rsidRPr="00DC08C6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Infrastructure</w:t>
      </w:r>
      <w:proofErr w:type="spellEnd"/>
      <w:r w:rsidR="002A49FC" w:rsidRPr="00DC08C6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Fund</w:t>
      </w:r>
      <w:r w:rsidRPr="00DC08C6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činí čtyři roky a je určen retailovým, </w:t>
      </w:r>
      <w:proofErr w:type="spellStart"/>
      <w:r w:rsidRPr="00DC08C6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afluentním</w:t>
      </w:r>
      <w:proofErr w:type="spellEnd"/>
      <w:r w:rsidRPr="008431C2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i</w:t>
      </w:r>
      <w:r w:rsidR="00122CC3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 </w:t>
      </w:r>
      <w:r w:rsidRPr="008431C2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institucionálním investorům. Pro retailové investory začíná minimální investice na 500 Kč nebo 20 EUR</w:t>
      </w:r>
      <w:r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.</w:t>
      </w:r>
      <w:r w:rsidR="002A49FC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</w:t>
      </w:r>
    </w:p>
    <w:p w14:paraId="70AC3DAD" w14:textId="22CF3342" w:rsidR="002A49FC" w:rsidRPr="008431C2" w:rsidRDefault="002A49FC" w:rsidP="5D8D8347">
      <w:pPr>
        <w:shd w:val="clear" w:color="auto" w:fill="FFFFFF" w:themeFill="background1"/>
        <w:spacing w:before="240" w:after="0" w:line="240" w:lineRule="auto"/>
        <w:jc w:val="both"/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</w:pPr>
      <w:r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Fond</w:t>
      </w:r>
      <w:r w:rsidRPr="008431C2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doplňuje</w:t>
      </w:r>
      <w:r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stávající</w:t>
      </w:r>
      <w:r w:rsidRPr="008431C2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Penta Equity Fund</w:t>
      </w:r>
      <w:r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, který </w:t>
      </w:r>
      <w:r w:rsidRPr="002A49FC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zahrnuje celé portfolio skupiny Penta</w:t>
      </w:r>
      <w:r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,</w:t>
      </w:r>
      <w:r w:rsidRPr="008431C2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a Penta Real Estate Fund</w:t>
      </w:r>
      <w:r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zaměřený na </w:t>
      </w:r>
      <w:r w:rsidRPr="002A49FC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její realitní byznys.</w:t>
      </w:r>
    </w:p>
    <w:p w14:paraId="344EF61C" w14:textId="370A0FE4" w:rsidR="004F45FD" w:rsidRDefault="008431C2" w:rsidP="008431C2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</w:pPr>
      <w:r w:rsidRPr="008431C2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Více informací </w:t>
      </w:r>
      <w:r w:rsidR="00BB0A2F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>najdete na</w:t>
      </w:r>
      <w:r w:rsidRPr="008431C2">
        <w:rPr>
          <w:rFonts w:ascii="Arial" w:eastAsia="Times New Roman" w:hAnsi="Arial" w:cs="Arial"/>
          <w:color w:val="404040"/>
          <w:kern w:val="0"/>
          <w:sz w:val="20"/>
          <w:szCs w:val="20"/>
          <w:lang w:val="cs-CZ" w:eastAsia="sk-SK"/>
          <w14:ligatures w14:val="none"/>
        </w:rPr>
        <w:t xml:space="preserve"> webu </w:t>
      </w:r>
      <w:hyperlink r:id="rId11" w:history="1">
        <w:r w:rsidRPr="00E613ED">
          <w:rPr>
            <w:rStyle w:val="Hyperlink"/>
            <w:rFonts w:ascii="Arial" w:eastAsia="Times New Roman" w:hAnsi="Arial" w:cs="Arial"/>
            <w:kern w:val="0"/>
            <w:sz w:val="20"/>
            <w:szCs w:val="20"/>
            <w:lang w:val="cs-CZ" w:eastAsia="sk-SK"/>
            <w14:ligatures w14:val="none"/>
          </w:rPr>
          <w:t>Penta Fund</w:t>
        </w:r>
        <w:r w:rsidR="004F45FD" w:rsidRPr="00E613ED">
          <w:rPr>
            <w:rStyle w:val="Hyperlink"/>
            <w:rFonts w:ascii="Arial" w:eastAsia="Times New Roman" w:hAnsi="Arial" w:cs="Arial"/>
            <w:kern w:val="0"/>
            <w:sz w:val="20"/>
            <w:szCs w:val="20"/>
            <w:lang w:val="cs-CZ" w:eastAsia="sk-SK"/>
            <w14:ligatures w14:val="none"/>
          </w:rPr>
          <w:t>.</w:t>
        </w:r>
      </w:hyperlink>
    </w:p>
    <w:p w14:paraId="4D33BE53" w14:textId="045D06FB" w:rsidR="00402901" w:rsidRPr="00235E5B" w:rsidRDefault="00402901" w:rsidP="00235E5B">
      <w:pPr>
        <w:shd w:val="clear" w:color="auto" w:fill="FFFFFF"/>
        <w:spacing w:before="240" w:after="0" w:line="240" w:lineRule="auto"/>
        <w:rPr>
          <w:rFonts w:ascii="Arial" w:eastAsia="Times New Roman" w:hAnsi="Arial" w:cs="Arial"/>
          <w:color w:val="404040"/>
          <w:kern w:val="0"/>
          <w:sz w:val="16"/>
          <w:szCs w:val="16"/>
          <w:lang w:val="cs-CZ" w:eastAsia="sk-SK"/>
          <w14:ligatures w14:val="none"/>
        </w:rPr>
      </w:pPr>
      <w:r w:rsidRPr="00411344">
        <w:rPr>
          <w:rFonts w:ascii="Arial" w:eastAsia="Times New Roman" w:hAnsi="Arial" w:cs="Arial"/>
          <w:color w:val="404040"/>
          <w:kern w:val="0"/>
          <w:sz w:val="16"/>
          <w:szCs w:val="16"/>
          <w:lang w:val="cs-CZ" w:eastAsia="sk-SK"/>
          <w14:ligatures w14:val="none"/>
        </w:rPr>
        <w:t xml:space="preserve">Ambulantní pavilon Kliniky Dr. Pírka, který je hlavním vizuálem kampaně nového fondu, vznikl ve spolupráci </w:t>
      </w:r>
      <w:r w:rsidR="009B2ADD">
        <w:rPr>
          <w:rFonts w:ascii="Arial" w:eastAsia="Times New Roman" w:hAnsi="Arial" w:cs="Arial"/>
          <w:color w:val="404040"/>
          <w:kern w:val="0"/>
          <w:sz w:val="16"/>
          <w:szCs w:val="16"/>
          <w:lang w:val="cs-CZ" w:eastAsia="sk-SK"/>
          <w14:ligatures w14:val="none"/>
        </w:rPr>
        <w:t>p</w:t>
      </w:r>
      <w:r w:rsidR="009B2ADD" w:rsidRPr="009B2ADD">
        <w:rPr>
          <w:rFonts w:ascii="Arial" w:eastAsia="Times New Roman" w:hAnsi="Arial" w:cs="Arial"/>
          <w:color w:val="404040"/>
          <w:kern w:val="0"/>
          <w:sz w:val="16"/>
          <w:szCs w:val="16"/>
          <w:lang w:val="cs-CZ" w:eastAsia="sk-SK"/>
          <w14:ligatures w14:val="none"/>
        </w:rPr>
        <w:t xml:space="preserve">rof. Ing. arch. </w:t>
      </w:r>
      <w:r w:rsidRPr="00411344">
        <w:rPr>
          <w:rFonts w:ascii="Arial" w:eastAsia="Times New Roman" w:hAnsi="Arial" w:cs="Arial"/>
          <w:color w:val="404040"/>
          <w:kern w:val="0"/>
          <w:sz w:val="16"/>
          <w:szCs w:val="16"/>
          <w:lang w:val="cs-CZ" w:eastAsia="sk-SK"/>
          <w14:ligatures w14:val="none"/>
        </w:rPr>
        <w:t xml:space="preserve">Martina </w:t>
      </w:r>
      <w:proofErr w:type="spellStart"/>
      <w:r w:rsidRPr="00411344">
        <w:rPr>
          <w:rFonts w:ascii="Arial" w:eastAsia="Times New Roman" w:hAnsi="Arial" w:cs="Arial"/>
          <w:color w:val="404040"/>
          <w:kern w:val="0"/>
          <w:sz w:val="16"/>
          <w:szCs w:val="16"/>
          <w:lang w:val="cs-CZ" w:eastAsia="sk-SK"/>
          <w14:ligatures w14:val="none"/>
        </w:rPr>
        <w:t>Rajniše</w:t>
      </w:r>
      <w:proofErr w:type="spellEnd"/>
      <w:r w:rsidRPr="00411344">
        <w:rPr>
          <w:rFonts w:ascii="Arial" w:eastAsia="Times New Roman" w:hAnsi="Arial" w:cs="Arial"/>
          <w:color w:val="404040"/>
          <w:kern w:val="0"/>
          <w:sz w:val="16"/>
          <w:szCs w:val="16"/>
          <w:lang w:val="cs-CZ" w:eastAsia="sk-SK"/>
          <w14:ligatures w14:val="none"/>
        </w:rPr>
        <w:t xml:space="preserve"> a</w:t>
      </w:r>
      <w:r w:rsidR="00922766">
        <w:rPr>
          <w:rFonts w:ascii="Arial" w:eastAsia="Times New Roman" w:hAnsi="Arial" w:cs="Arial"/>
          <w:color w:val="404040"/>
          <w:kern w:val="0"/>
          <w:sz w:val="16"/>
          <w:szCs w:val="16"/>
          <w:lang w:val="cs-CZ" w:eastAsia="sk-SK"/>
          <w14:ligatures w14:val="none"/>
        </w:rPr>
        <w:t> </w:t>
      </w:r>
      <w:r w:rsidRPr="00411344">
        <w:rPr>
          <w:rFonts w:ascii="Arial" w:eastAsia="Times New Roman" w:hAnsi="Arial" w:cs="Arial"/>
          <w:color w:val="404040"/>
          <w:kern w:val="0"/>
          <w:sz w:val="16"/>
          <w:szCs w:val="16"/>
          <w:lang w:val="cs-CZ" w:eastAsia="sk-SK"/>
          <w14:ligatures w14:val="none"/>
        </w:rPr>
        <w:t xml:space="preserve">MgA. Davida Kubíka z Hutě architektury Martin </w:t>
      </w:r>
      <w:proofErr w:type="spellStart"/>
      <w:r w:rsidRPr="00411344">
        <w:rPr>
          <w:rFonts w:ascii="Arial" w:eastAsia="Times New Roman" w:hAnsi="Arial" w:cs="Arial"/>
          <w:color w:val="404040"/>
          <w:kern w:val="0"/>
          <w:sz w:val="16"/>
          <w:szCs w:val="16"/>
          <w:lang w:val="cs-CZ" w:eastAsia="sk-SK"/>
          <w14:ligatures w14:val="none"/>
        </w:rPr>
        <w:t>Rajniš</w:t>
      </w:r>
      <w:proofErr w:type="spellEnd"/>
      <w:r w:rsidRPr="00411344">
        <w:rPr>
          <w:rFonts w:ascii="Arial" w:eastAsia="Times New Roman" w:hAnsi="Arial" w:cs="Arial"/>
          <w:color w:val="404040"/>
          <w:kern w:val="0"/>
          <w:sz w:val="16"/>
          <w:szCs w:val="16"/>
          <w:lang w:val="cs-CZ" w:eastAsia="sk-SK"/>
          <w14:ligatures w14:val="none"/>
        </w:rPr>
        <w:t>.</w:t>
      </w:r>
    </w:p>
    <w:p w14:paraId="6787ED69" w14:textId="74AAC04C" w:rsidR="00563ADC" w:rsidRPr="00876BFB" w:rsidRDefault="001F412C" w:rsidP="00876BFB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467886" w:themeColor="hyperlink"/>
          <w:kern w:val="0"/>
          <w:sz w:val="16"/>
          <w:szCs w:val="16"/>
          <w:u w:val="single"/>
          <w:lang w:val="cs-CZ" w:eastAsia="sk-SK"/>
          <w14:ligatures w14:val="none"/>
        </w:rPr>
      </w:pPr>
      <w:r w:rsidRPr="001F412C">
        <w:rPr>
          <w:rFonts w:ascii="Arial" w:eastAsia="Times New Roman" w:hAnsi="Arial" w:cs="Arial"/>
          <w:color w:val="404040"/>
          <w:kern w:val="0"/>
          <w:sz w:val="16"/>
          <w:szCs w:val="16"/>
          <w:lang w:val="cs-CZ" w:eastAsia="sk-SK"/>
          <w14:ligatures w14:val="none"/>
        </w:rPr>
        <w:t>S investováním jsou spojena rizika. Hodnota investice může v čase kolísat a plná návratnost původně investované částky není zaručena. Odhad očekávaného výnosu vychází z historických údajů a současné tržní situace. Dosavadní výkonnost není spolehlivým ukazatelem budoucích výnosů. Toto je propagační sdělení. Než provedete jakékoliv konečné investiční rozhodnutí, přečtěte si, prosím, statut příslušného fondu a sdělení klíčových</w:t>
      </w:r>
      <w:r>
        <w:rPr>
          <w:rFonts w:ascii="Arial" w:eastAsia="Times New Roman" w:hAnsi="Arial" w:cs="Arial"/>
          <w:color w:val="404040"/>
          <w:kern w:val="0"/>
          <w:sz w:val="16"/>
          <w:szCs w:val="16"/>
          <w:lang w:val="cs-CZ" w:eastAsia="sk-SK"/>
          <w14:ligatures w14:val="none"/>
        </w:rPr>
        <w:t xml:space="preserve"> </w:t>
      </w:r>
      <w:r w:rsidRPr="001F412C">
        <w:rPr>
          <w:rFonts w:ascii="Arial" w:eastAsia="Times New Roman" w:hAnsi="Arial" w:cs="Arial"/>
          <w:color w:val="404040"/>
          <w:kern w:val="0"/>
          <w:sz w:val="16"/>
          <w:szCs w:val="16"/>
          <w:lang w:val="cs-CZ" w:eastAsia="sk-SK"/>
          <w14:ligatures w14:val="none"/>
        </w:rPr>
        <w:t xml:space="preserve">informací dostupné na </w:t>
      </w:r>
      <w:hyperlink r:id="rId12" w:history="1">
        <w:r w:rsidRPr="00003496">
          <w:rPr>
            <w:rStyle w:val="Hyperlink"/>
            <w:rFonts w:ascii="Arial" w:eastAsia="Times New Roman" w:hAnsi="Arial" w:cs="Arial"/>
            <w:kern w:val="0"/>
            <w:sz w:val="16"/>
            <w:szCs w:val="16"/>
            <w:lang w:val="cs-CZ" w:eastAsia="sk-SK"/>
            <w14:ligatures w14:val="none"/>
          </w:rPr>
          <w:t>www.pentafund.com/cz/dokumenty-ke-stazeni</w:t>
        </w:r>
      </w:hyperlink>
      <w:r>
        <w:rPr>
          <w:rFonts w:ascii="Arial" w:eastAsia="Times New Roman" w:hAnsi="Arial" w:cs="Arial"/>
          <w:color w:val="404040"/>
          <w:kern w:val="0"/>
          <w:sz w:val="16"/>
          <w:szCs w:val="16"/>
          <w:lang w:val="cs-CZ" w:eastAsia="sk-SK"/>
          <w14:ligatures w14:val="none"/>
        </w:rPr>
        <w:t>.</w:t>
      </w:r>
    </w:p>
    <w:p w14:paraId="3CE713DC" w14:textId="77777777" w:rsidR="00563ADC" w:rsidRDefault="00563ADC" w:rsidP="00563ADC">
      <w:pPr>
        <w:rPr>
          <w:rStyle w:val="Hyperlink"/>
          <w:rFonts w:ascii="Arial" w:eastAsia="Times New Roman" w:hAnsi="Arial" w:cs="Arial"/>
          <w:kern w:val="0"/>
          <w:sz w:val="16"/>
          <w:szCs w:val="16"/>
          <w:lang w:val="cs-CZ" w:eastAsia="sk-SK"/>
          <w14:ligatures w14:val="none"/>
        </w:rPr>
      </w:pPr>
    </w:p>
    <w:p w14:paraId="6112EDF2" w14:textId="77777777" w:rsidR="00563ADC" w:rsidRDefault="00563ADC" w:rsidP="00563ADC">
      <w:pPr>
        <w:rPr>
          <w:rStyle w:val="Hyperlink"/>
          <w:rFonts w:ascii="Arial" w:eastAsia="Times New Roman" w:hAnsi="Arial" w:cs="Arial"/>
          <w:kern w:val="0"/>
          <w:sz w:val="16"/>
          <w:szCs w:val="16"/>
          <w:lang w:val="cs-CZ" w:eastAsia="sk-SK"/>
          <w14:ligatures w14:val="none"/>
        </w:rPr>
      </w:pPr>
    </w:p>
    <w:p w14:paraId="7C0EB3C4" w14:textId="7CF97AC4" w:rsidR="008479D6" w:rsidRDefault="00563ADC" w:rsidP="008479D6">
      <w:pPr>
        <w:rPr>
          <w:rFonts w:ascii="Arial" w:eastAsia="Times New Roman" w:hAnsi="Arial" w:cs="Arial"/>
          <w:sz w:val="16"/>
          <w:szCs w:val="16"/>
          <w:u w:val="single"/>
          <w:lang w:val="cs-CZ" w:eastAsia="sk-SK"/>
        </w:rPr>
      </w:pPr>
      <w:r w:rsidRPr="00563ADC">
        <w:rPr>
          <w:rFonts w:ascii="Arial" w:eastAsia="Times New Roman" w:hAnsi="Arial" w:cs="Arial"/>
          <w:b/>
          <w:bCs/>
          <w:sz w:val="16"/>
          <w:szCs w:val="16"/>
          <w:lang w:val="cs-CZ" w:eastAsia="sk-SK"/>
        </w:rPr>
        <w:t>Kontakt pro média</w:t>
      </w:r>
      <w:r w:rsidR="00B91270">
        <w:rPr>
          <w:rFonts w:ascii="Arial" w:eastAsia="Times New Roman" w:hAnsi="Arial" w:cs="Arial"/>
          <w:b/>
          <w:bCs/>
          <w:sz w:val="16"/>
          <w:szCs w:val="16"/>
          <w:lang w:val="cs-CZ" w:eastAsia="sk-SK"/>
        </w:rPr>
        <w:br/>
      </w:r>
      <w:r w:rsidR="008479D6">
        <w:rPr>
          <w:rFonts w:ascii="Arial" w:eastAsia="Times New Roman" w:hAnsi="Arial" w:cs="Arial"/>
          <w:sz w:val="16"/>
          <w:szCs w:val="16"/>
          <w:lang w:val="cs-CZ" w:eastAsia="sk-SK"/>
        </w:rPr>
        <w:br/>
      </w:r>
      <w:r w:rsidR="00B91270" w:rsidRPr="008479D6">
        <w:rPr>
          <w:rFonts w:ascii="Arial" w:eastAsia="Times New Roman" w:hAnsi="Arial" w:cs="Arial"/>
          <w:b/>
          <w:bCs/>
          <w:sz w:val="16"/>
          <w:szCs w:val="16"/>
          <w:lang w:val="cs-CZ" w:eastAsia="sk-SK"/>
        </w:rPr>
        <w:t>Dagmar Nováková</w:t>
      </w:r>
      <w:r w:rsidR="008479D6" w:rsidRPr="00235E5B">
        <w:rPr>
          <w:rFonts w:ascii="Arial" w:eastAsia="Times New Roman" w:hAnsi="Arial" w:cs="Arial"/>
          <w:sz w:val="16"/>
          <w:szCs w:val="16"/>
          <w:lang w:val="cs-CZ" w:eastAsia="sk-SK"/>
        </w:rPr>
        <w:br/>
        <w:t>Marketing &amp; Communications Manager</w:t>
      </w:r>
      <w:r w:rsidR="008479D6" w:rsidRPr="00235E5B">
        <w:rPr>
          <w:rFonts w:ascii="Arial" w:eastAsia="Times New Roman" w:hAnsi="Arial" w:cs="Arial"/>
          <w:sz w:val="16"/>
          <w:szCs w:val="16"/>
          <w:lang w:val="cs-CZ" w:eastAsia="sk-SK"/>
        </w:rPr>
        <w:br/>
      </w:r>
      <w:r w:rsidR="008479D6" w:rsidRPr="00235E5B">
        <w:rPr>
          <w:rFonts w:ascii="Arial" w:eastAsia="Times New Roman" w:hAnsi="Arial" w:cs="Arial"/>
          <w:sz w:val="16"/>
          <w:szCs w:val="16"/>
          <w:lang w:eastAsia="sk-SK"/>
        </w:rPr>
        <w:t>Penta Funds Management</w:t>
      </w:r>
      <w:r w:rsidR="00922766">
        <w:rPr>
          <w:rFonts w:ascii="Arial" w:eastAsia="Times New Roman" w:hAnsi="Arial" w:cs="Arial"/>
          <w:sz w:val="16"/>
          <w:szCs w:val="16"/>
          <w:lang w:eastAsia="sk-SK"/>
        </w:rPr>
        <w:t>,</w:t>
      </w:r>
      <w:r w:rsidR="008479D6" w:rsidRPr="00235E5B">
        <w:rPr>
          <w:rFonts w:ascii="Arial" w:eastAsia="Times New Roman" w:hAnsi="Arial" w:cs="Arial"/>
          <w:sz w:val="16"/>
          <w:szCs w:val="16"/>
          <w:lang w:eastAsia="sk-SK"/>
        </w:rPr>
        <w:t xml:space="preserve"> s.r.o.</w:t>
      </w:r>
      <w:r w:rsidR="008479D6" w:rsidRPr="00235E5B">
        <w:rPr>
          <w:rFonts w:ascii="Arial" w:eastAsia="Times New Roman" w:hAnsi="Arial" w:cs="Arial"/>
          <w:sz w:val="16"/>
          <w:szCs w:val="16"/>
          <w:lang w:val="cs-CZ" w:eastAsia="sk-SK"/>
        </w:rPr>
        <w:br/>
        <w:t>Tel.: +420 603 577</w:t>
      </w:r>
      <w:r w:rsidR="008479D6">
        <w:rPr>
          <w:rFonts w:ascii="Arial" w:eastAsia="Times New Roman" w:hAnsi="Arial" w:cs="Arial"/>
          <w:sz w:val="16"/>
          <w:szCs w:val="16"/>
          <w:lang w:val="cs-CZ" w:eastAsia="sk-SK"/>
        </w:rPr>
        <w:t> </w:t>
      </w:r>
      <w:r w:rsidR="008479D6" w:rsidRPr="00235E5B">
        <w:rPr>
          <w:rFonts w:ascii="Arial" w:eastAsia="Times New Roman" w:hAnsi="Arial" w:cs="Arial"/>
          <w:sz w:val="16"/>
          <w:szCs w:val="16"/>
          <w:lang w:val="cs-CZ" w:eastAsia="sk-SK"/>
        </w:rPr>
        <w:t>810</w:t>
      </w:r>
      <w:r w:rsidR="008479D6">
        <w:rPr>
          <w:rFonts w:ascii="Arial" w:eastAsia="Times New Roman" w:hAnsi="Arial" w:cs="Arial"/>
          <w:sz w:val="16"/>
          <w:szCs w:val="16"/>
          <w:lang w:val="cs-CZ" w:eastAsia="sk-SK"/>
        </w:rPr>
        <w:br/>
      </w:r>
      <w:r w:rsidR="008479D6" w:rsidRPr="00235E5B">
        <w:rPr>
          <w:rFonts w:ascii="Arial" w:eastAsia="Times New Roman" w:hAnsi="Arial" w:cs="Arial"/>
          <w:sz w:val="16"/>
          <w:szCs w:val="16"/>
          <w:lang w:val="cs-CZ" w:eastAsia="sk-SK"/>
        </w:rPr>
        <w:t xml:space="preserve">E-mail: </w:t>
      </w:r>
      <w:hyperlink r:id="rId13" w:history="1">
        <w:r w:rsidR="008479D6" w:rsidRPr="00235E5B">
          <w:rPr>
            <w:rStyle w:val="Hyperlink"/>
            <w:rFonts w:ascii="Arial" w:eastAsia="Times New Roman" w:hAnsi="Arial" w:cs="Arial"/>
            <w:sz w:val="16"/>
            <w:szCs w:val="16"/>
            <w:lang w:val="cs-CZ" w:eastAsia="sk-SK"/>
          </w:rPr>
          <w:t>novakova@pentafund.com</w:t>
        </w:r>
      </w:hyperlink>
    </w:p>
    <w:p w14:paraId="56436D5F" w14:textId="77777777" w:rsidR="00134E82" w:rsidRDefault="00134E82" w:rsidP="00134E82">
      <w:pPr>
        <w:spacing w:line="240" w:lineRule="auto"/>
      </w:pPr>
      <w:r w:rsidRPr="00235E5B">
        <w:rPr>
          <w:rFonts w:ascii="Arial" w:hAnsi="Arial" w:cs="Arial"/>
          <w:b/>
          <w:sz w:val="16"/>
          <w:szCs w:val="16"/>
        </w:rPr>
        <w:t>Kristýna Dolejšová</w:t>
      </w:r>
      <w:r>
        <w:rPr>
          <w:rFonts w:ascii="Arial" w:hAnsi="Arial" w:cs="Arial"/>
          <w:b/>
          <w:sz w:val="16"/>
          <w:szCs w:val="16"/>
        </w:rPr>
        <w:br/>
      </w:r>
      <w:proofErr w:type="spellStart"/>
      <w:r w:rsidRPr="00235E5B">
        <w:rPr>
          <w:rFonts w:ascii="Arial" w:hAnsi="Arial" w:cs="Arial"/>
          <w:bCs/>
          <w:sz w:val="16"/>
          <w:szCs w:val="16"/>
        </w:rPr>
        <w:t>Account</w:t>
      </w:r>
      <w:proofErr w:type="spellEnd"/>
      <w:r w:rsidRPr="00235E5B">
        <w:rPr>
          <w:rFonts w:ascii="Arial" w:hAnsi="Arial" w:cs="Arial"/>
          <w:bCs/>
          <w:sz w:val="16"/>
          <w:szCs w:val="16"/>
        </w:rPr>
        <w:t xml:space="preserve"> </w:t>
      </w:r>
      <w:proofErr w:type="spellStart"/>
      <w:r w:rsidRPr="00235E5B">
        <w:rPr>
          <w:rFonts w:ascii="Arial" w:hAnsi="Arial" w:cs="Arial"/>
          <w:bCs/>
          <w:sz w:val="16"/>
          <w:szCs w:val="16"/>
        </w:rPr>
        <w:t>Director</w:t>
      </w:r>
      <w:proofErr w:type="spellEnd"/>
      <w:r>
        <w:rPr>
          <w:rFonts w:ascii="Arial" w:hAnsi="Arial" w:cs="Arial"/>
          <w:b/>
          <w:sz w:val="16"/>
          <w:szCs w:val="16"/>
        </w:rPr>
        <w:br/>
      </w:r>
      <w:proofErr w:type="spellStart"/>
      <w:r w:rsidRPr="00235E5B">
        <w:rPr>
          <w:rFonts w:ascii="Arial" w:hAnsi="Arial" w:cs="Arial"/>
          <w:bCs/>
          <w:sz w:val="16"/>
          <w:szCs w:val="16"/>
        </w:rPr>
        <w:t>Stance</w:t>
      </w:r>
      <w:proofErr w:type="spellEnd"/>
      <w:r w:rsidRPr="00235E5B">
        <w:rPr>
          <w:rFonts w:ascii="Arial" w:hAnsi="Arial" w:cs="Arial"/>
          <w:bCs/>
          <w:sz w:val="16"/>
          <w:szCs w:val="16"/>
        </w:rPr>
        <w:t xml:space="preserve"> </w:t>
      </w:r>
      <w:proofErr w:type="spellStart"/>
      <w:r w:rsidRPr="00235E5B">
        <w:rPr>
          <w:rFonts w:ascii="Arial" w:hAnsi="Arial" w:cs="Arial"/>
          <w:bCs/>
          <w:sz w:val="16"/>
          <w:szCs w:val="16"/>
        </w:rPr>
        <w:t>Communications</w:t>
      </w:r>
      <w:proofErr w:type="spellEnd"/>
      <w:r w:rsidRPr="00235E5B">
        <w:rPr>
          <w:rFonts w:ascii="Arial" w:hAnsi="Arial" w:cs="Arial"/>
          <w:bCs/>
          <w:sz w:val="16"/>
          <w:szCs w:val="16"/>
        </w:rPr>
        <w:t>, s.r.o</w:t>
      </w:r>
      <w:r>
        <w:rPr>
          <w:rFonts w:ascii="Arial" w:hAnsi="Arial" w:cs="Arial"/>
          <w:bCs/>
          <w:sz w:val="16"/>
          <w:szCs w:val="16"/>
        </w:rPr>
        <w:t>.</w:t>
      </w:r>
      <w:r>
        <w:rPr>
          <w:rFonts w:ascii="Arial" w:hAnsi="Arial" w:cs="Arial"/>
          <w:bCs/>
          <w:sz w:val="16"/>
          <w:szCs w:val="16"/>
        </w:rPr>
        <w:br/>
      </w:r>
      <w:r w:rsidRPr="00235E5B">
        <w:rPr>
          <w:rFonts w:ascii="Arial" w:hAnsi="Arial" w:cs="Arial"/>
          <w:bCs/>
          <w:sz w:val="16"/>
          <w:szCs w:val="16"/>
        </w:rPr>
        <w:t>Tel.: +420 602 141</w:t>
      </w:r>
      <w:r>
        <w:rPr>
          <w:rFonts w:ascii="Arial" w:hAnsi="Arial" w:cs="Arial"/>
          <w:bCs/>
          <w:sz w:val="16"/>
          <w:szCs w:val="16"/>
        </w:rPr>
        <w:t> </w:t>
      </w:r>
      <w:r w:rsidRPr="00235E5B">
        <w:rPr>
          <w:rFonts w:ascii="Arial" w:hAnsi="Arial" w:cs="Arial"/>
          <w:bCs/>
          <w:sz w:val="16"/>
          <w:szCs w:val="16"/>
        </w:rPr>
        <w:t>313</w:t>
      </w:r>
      <w:r>
        <w:rPr>
          <w:rFonts w:ascii="Arial" w:hAnsi="Arial" w:cs="Arial"/>
          <w:b/>
          <w:sz w:val="16"/>
          <w:szCs w:val="16"/>
        </w:rPr>
        <w:br/>
      </w:r>
      <w:r w:rsidRPr="00235E5B">
        <w:rPr>
          <w:rFonts w:ascii="Arial" w:hAnsi="Arial" w:cs="Arial"/>
          <w:bCs/>
          <w:sz w:val="16"/>
          <w:szCs w:val="16"/>
        </w:rPr>
        <w:t xml:space="preserve">E-mail: </w:t>
      </w:r>
      <w:hyperlink r:id="rId14" w:history="1">
        <w:r w:rsidRPr="00235E5B">
          <w:rPr>
            <w:rStyle w:val="Hyperlink"/>
            <w:rFonts w:ascii="Arial" w:hAnsi="Arial" w:cs="Arial"/>
            <w:sz w:val="16"/>
            <w:szCs w:val="16"/>
          </w:rPr>
          <w:t>kristyna.dolejsova@stance.cz</w:t>
        </w:r>
      </w:hyperlink>
    </w:p>
    <w:p w14:paraId="0BA7121A" w14:textId="0F613673" w:rsidR="00B91270" w:rsidRPr="00235E5B" w:rsidRDefault="00B91270" w:rsidP="008479D6">
      <w:pPr>
        <w:rPr>
          <w:rFonts w:ascii="Arial" w:eastAsia="Times New Roman" w:hAnsi="Arial" w:cs="Arial"/>
          <w:b/>
          <w:bCs/>
          <w:sz w:val="16"/>
          <w:szCs w:val="16"/>
          <w:lang w:val="en-US" w:eastAsia="sk-SK"/>
        </w:rPr>
      </w:pPr>
    </w:p>
    <w:sectPr w:rsidR="00B91270" w:rsidRPr="00235E5B" w:rsidSect="00876BF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62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5A0AF" w14:textId="77777777" w:rsidR="00E256B8" w:rsidRDefault="00E256B8" w:rsidP="00B418FC">
      <w:pPr>
        <w:spacing w:after="0" w:line="240" w:lineRule="auto"/>
      </w:pPr>
      <w:r>
        <w:separator/>
      </w:r>
    </w:p>
  </w:endnote>
  <w:endnote w:type="continuationSeparator" w:id="0">
    <w:p w14:paraId="7667924F" w14:textId="77777777" w:rsidR="00E256B8" w:rsidRDefault="00E256B8" w:rsidP="00B41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5FA36" w14:textId="77777777" w:rsidR="00EF55F2" w:rsidRDefault="00EF55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914" w:type="dxa"/>
      <w:jc w:val="center"/>
      <w:tblCellSpacing w:w="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62"/>
      <w:gridCol w:w="5252"/>
    </w:tblGrid>
    <w:tr w:rsidR="00AF5BFC" w14:paraId="0DE85899" w14:textId="77777777" w:rsidTr="00B47CE0">
      <w:trPr>
        <w:trHeight w:val="454"/>
        <w:tblCellSpacing w:w="56" w:type="dxa"/>
        <w:jc w:val="center"/>
      </w:trPr>
      <w:tc>
        <w:tcPr>
          <w:tcW w:w="4252" w:type="dxa"/>
        </w:tcPr>
        <w:p w14:paraId="03FB6EAF" w14:textId="77777777" w:rsidR="00AF5BFC" w:rsidRPr="00A54A6F" w:rsidRDefault="00AF5BFC" w:rsidP="00B47CE0">
          <w:pPr>
            <w:pStyle w:val="BasicParagraph"/>
            <w:ind w:left="402" w:right="170" w:hanging="5"/>
            <w:rPr>
              <w:rFonts w:ascii="Arial" w:hAnsi="Arial" w:cs="Arial"/>
              <w:color w:val="3A3A3A" w:themeColor="background2" w:themeShade="40"/>
              <w:sz w:val="14"/>
              <w:szCs w:val="14"/>
              <w:lang w:val="pl-PL"/>
            </w:rPr>
          </w:pPr>
          <w:r w:rsidRPr="00A54A6F">
            <w:rPr>
              <w:rFonts w:ascii="Arial" w:hAnsi="Arial" w:cs="Arial"/>
              <w:color w:val="3A3A3A" w:themeColor="background2" w:themeShade="40"/>
              <w:sz w:val="14"/>
              <w:szCs w:val="14"/>
              <w:lang w:val="pl-PL"/>
            </w:rPr>
            <w:t xml:space="preserve">O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4"/>
              <w:szCs w:val="14"/>
              <w:lang w:val="pl-PL"/>
            </w:rPr>
            <w:t>skupině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4"/>
              <w:szCs w:val="14"/>
              <w:lang w:val="pl-PL"/>
            </w:rPr>
            <w:t xml:space="preserve"> Penta</w:t>
          </w:r>
        </w:p>
        <w:p w14:paraId="79ACF443" w14:textId="7C6C2F66" w:rsidR="00AF5BFC" w:rsidRPr="00A54A6F" w:rsidRDefault="00AF5BFC" w:rsidP="00B47CE0">
          <w:pPr>
            <w:pStyle w:val="BasicParagraph"/>
            <w:ind w:left="402" w:right="170" w:hanging="5"/>
            <w:jc w:val="both"/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</w:pPr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Penta je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středoevropská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investiční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skupina,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která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byla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založená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v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roce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1994.</w:t>
          </w:r>
          <w:r w:rsidRPr="00A54A6F">
            <w:rPr>
              <w:rFonts w:ascii="Arial" w:hAnsi="Arial" w:cs="Arial"/>
              <w:color w:val="3A3A3A" w:themeColor="background2" w:themeShade="40"/>
              <w:sz w:val="13"/>
              <w:szCs w:val="13"/>
              <w:lang w:val="pl-PL"/>
            </w:rPr>
            <w:t xml:space="preserve"> </w:t>
          </w:r>
          <w:r w:rsidR="001A4FFB" w:rsidRPr="00A54A6F">
            <w:rPr>
              <w:rFonts w:ascii="Arial" w:hAnsi="Arial" w:cs="Arial"/>
              <w:color w:val="3A3A3A" w:themeColor="background2" w:themeShade="40"/>
              <w:sz w:val="13"/>
              <w:szCs w:val="13"/>
              <w:lang w:val="pl-PL"/>
            </w:rPr>
            <w:br/>
          </w:r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Je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aktivní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zejména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ve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zdravotnictví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,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finančních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službách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,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výrobě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,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maloobchodu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, v 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realitním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developmentu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a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médiích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.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Její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portfoliové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společnosti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zaměstnávají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více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než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r w:rsid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6</w:t>
          </w:r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0 000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lidí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, v 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roce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2025 </w:t>
          </w:r>
          <w:proofErr w:type="spellStart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dosáhla</w:t>
          </w:r>
          <w:proofErr w:type="spellEnd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skupina </w:t>
          </w:r>
          <w:proofErr w:type="spellStart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rekordního</w:t>
          </w:r>
          <w:proofErr w:type="spellEnd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čistého</w:t>
          </w:r>
          <w:proofErr w:type="spellEnd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zisku</w:t>
          </w:r>
          <w:proofErr w:type="spellEnd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ve</w:t>
          </w:r>
          <w:proofErr w:type="spellEnd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výši</w:t>
          </w:r>
          <w:proofErr w:type="spellEnd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17,5 mld. </w:t>
          </w:r>
          <w:proofErr w:type="spellStart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Kč</w:t>
          </w:r>
          <w:proofErr w:type="spellEnd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(714 mil. EUR), a to </w:t>
          </w:r>
          <w:proofErr w:type="spellStart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díky</w:t>
          </w:r>
          <w:proofErr w:type="spellEnd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růstu</w:t>
          </w:r>
          <w:proofErr w:type="spellEnd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ve</w:t>
          </w:r>
          <w:proofErr w:type="spellEnd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všech</w:t>
          </w:r>
          <w:proofErr w:type="spellEnd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klíčových</w:t>
          </w:r>
          <w:proofErr w:type="spellEnd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oblastech</w:t>
          </w:r>
          <w:proofErr w:type="spellEnd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svého</w:t>
          </w:r>
          <w:proofErr w:type="spellEnd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podnikání</w:t>
          </w:r>
          <w:proofErr w:type="spellEnd"/>
          <w:r w:rsidR="00EF55F2" w:rsidRPr="00EF55F2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.</w:t>
          </w:r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. Penta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působí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ve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vice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než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deseti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zemích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Evropy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,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svoje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zastoupení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má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v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Praze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,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Bratislavě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,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Varšavě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a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Limassolu</w:t>
          </w:r>
          <w:proofErr w:type="spellEnd"/>
          <w:r w:rsidR="001A4FFB"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.</w:t>
          </w:r>
        </w:p>
        <w:p w14:paraId="079F6E58" w14:textId="77777777" w:rsidR="00AF5BFC" w:rsidRPr="00A54A6F" w:rsidRDefault="00AF5BFC" w:rsidP="001A4FFB">
          <w:pPr>
            <w:pStyle w:val="BasicParagraph"/>
            <w:rPr>
              <w:rFonts w:ascii="Arial" w:hAnsi="Arial" w:cs="Arial"/>
              <w:sz w:val="10"/>
              <w:szCs w:val="10"/>
              <w:lang w:val="pl-PL"/>
            </w:rPr>
          </w:pPr>
        </w:p>
      </w:tc>
      <w:tc>
        <w:tcPr>
          <w:tcW w:w="4810" w:type="dxa"/>
        </w:tcPr>
        <w:p w14:paraId="3BE4B97F" w14:textId="77777777" w:rsidR="00AF5BFC" w:rsidRPr="00A54A6F" w:rsidRDefault="00AF5BFC" w:rsidP="00B47CE0">
          <w:pPr>
            <w:pStyle w:val="BasicParagraph"/>
            <w:ind w:left="170" w:right="397"/>
            <w:rPr>
              <w:rFonts w:ascii="Arial" w:hAnsi="Arial" w:cs="Arial"/>
              <w:b/>
              <w:bCs/>
              <w:color w:val="3A3A3A" w:themeColor="background2" w:themeShade="40"/>
              <w:sz w:val="14"/>
              <w:szCs w:val="14"/>
              <w:lang w:val="pl-PL"/>
            </w:rPr>
          </w:pPr>
          <w:r w:rsidRPr="00A54A6F">
            <w:rPr>
              <w:rFonts w:ascii="Arial" w:hAnsi="Arial" w:cs="Arial"/>
              <w:color w:val="3A3A3A" w:themeColor="background2" w:themeShade="40"/>
              <w:sz w:val="14"/>
              <w:szCs w:val="14"/>
              <w:lang w:val="pl-PL"/>
            </w:rPr>
            <w:t>O Penta Fund</w:t>
          </w:r>
        </w:p>
        <w:p w14:paraId="0A58DB79" w14:textId="78DA95DE" w:rsidR="00AF5BFC" w:rsidRPr="00A54A6F" w:rsidRDefault="00AF5BFC" w:rsidP="00B47CE0">
          <w:pPr>
            <w:pStyle w:val="BasicParagraph"/>
            <w:ind w:left="170" w:right="397"/>
            <w:jc w:val="both"/>
            <w:rPr>
              <w:rFonts w:ascii="Arial" w:hAnsi="Arial" w:cs="Arial"/>
              <w:sz w:val="10"/>
              <w:szCs w:val="10"/>
              <w:lang w:val="pl-PL"/>
            </w:rPr>
          </w:pPr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V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roce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2024 skupina Penta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otevřela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své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investiční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příležitosti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také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kvalifikovaným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investorům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prostřednictvím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fondů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 Penta Equity Fund a Penta Real Estate Fund. Ty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investorům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umožňují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podílet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br/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se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na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investicích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skupiny do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etablovaných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společností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a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projektů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v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oblasti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private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equity a real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estate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br/>
            <w:t xml:space="preserve">a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investovat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do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firem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Penty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spolu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s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lidmi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,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kteří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je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vybudovali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.</w:t>
          </w:r>
          <w:r w:rsidR="006F15F2"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V </w:t>
          </w:r>
          <w:proofErr w:type="spellStart"/>
          <w:r w:rsidR="006F15F2"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roce</w:t>
          </w:r>
          <w:proofErr w:type="spellEnd"/>
          <w:r w:rsidR="006F15F2"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2026 k nim </w:t>
          </w:r>
          <w:proofErr w:type="spellStart"/>
          <w:r w:rsidR="006F15F2"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přidala</w:t>
          </w:r>
          <w:proofErr w:type="spellEnd"/>
          <w:r w:rsidR="006F15F2"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Penta Healthcare </w:t>
          </w:r>
          <w:proofErr w:type="spellStart"/>
          <w:r w:rsidR="006F15F2"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Infrastructure</w:t>
          </w:r>
          <w:proofErr w:type="spellEnd"/>
          <w:r w:rsidR="006F15F2"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Fund.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Investiční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strategie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fondů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staví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na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dlouhodobých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zkušenostech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skupiny Penta s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budováním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a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rozvojem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úspěšných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značek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,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mezi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které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patří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například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Dr.Max, Fortuna, Penta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Hospitals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</w:t>
          </w:r>
          <w:proofErr w:type="spellStart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>nebo</w:t>
          </w:r>
          <w:proofErr w:type="spellEnd"/>
          <w:r w:rsidRPr="00A54A6F">
            <w:rPr>
              <w:rFonts w:ascii="Arial" w:hAnsi="Arial" w:cs="Arial"/>
              <w:color w:val="3A3A3A" w:themeColor="background2" w:themeShade="40"/>
              <w:sz w:val="10"/>
              <w:szCs w:val="10"/>
              <w:lang w:val="pl-PL"/>
            </w:rPr>
            <w:t xml:space="preserve"> Penta Real Estate.</w:t>
          </w:r>
        </w:p>
      </w:tc>
    </w:tr>
  </w:tbl>
  <w:p w14:paraId="6F43F741" w14:textId="77777777" w:rsidR="00AF5BFC" w:rsidRPr="00A54A6F" w:rsidRDefault="00AF5BFC" w:rsidP="00DC1698">
    <w:pPr>
      <w:pStyle w:val="BasicParagraph"/>
      <w:rPr>
        <w:rFonts w:ascii="Arial" w:hAnsi="Arial" w:cs="Arial"/>
        <w:sz w:val="10"/>
        <w:szCs w:val="10"/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827ED" w14:textId="77777777" w:rsidR="00EF55F2" w:rsidRDefault="00EF55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228DE" w14:textId="77777777" w:rsidR="00E256B8" w:rsidRDefault="00E256B8" w:rsidP="00B418FC">
      <w:pPr>
        <w:spacing w:after="0" w:line="240" w:lineRule="auto"/>
      </w:pPr>
      <w:r>
        <w:separator/>
      </w:r>
    </w:p>
  </w:footnote>
  <w:footnote w:type="continuationSeparator" w:id="0">
    <w:p w14:paraId="050D5A75" w14:textId="77777777" w:rsidR="00E256B8" w:rsidRDefault="00E256B8" w:rsidP="00B418FC">
      <w:pPr>
        <w:spacing w:after="0" w:line="240" w:lineRule="auto"/>
      </w:pPr>
      <w:r>
        <w:continuationSeparator/>
      </w:r>
    </w:p>
  </w:footnote>
  <w:footnote w:id="1">
    <w:p w14:paraId="149DDC77" w14:textId="6CFFAB10" w:rsidR="00AA1D81" w:rsidRPr="00AA1D81" w:rsidRDefault="00AA1D81" w:rsidP="00876BFB">
      <w:pPr>
        <w:pStyle w:val="FootnoteText"/>
        <w:jc w:val="both"/>
        <w:rPr>
          <w:lang w:val="cs-CZ"/>
        </w:rPr>
      </w:pPr>
      <w:r w:rsidRPr="00876BFB">
        <w:rPr>
          <w:rStyle w:val="FootnoteReference"/>
          <w:sz w:val="18"/>
          <w:szCs w:val="18"/>
        </w:rPr>
        <w:footnoteRef/>
      </w:r>
      <w:r w:rsidRPr="00876BFB">
        <w:rPr>
          <w:sz w:val="18"/>
          <w:szCs w:val="18"/>
        </w:rPr>
        <w:t xml:space="preserve"> </w:t>
      </w:r>
      <w:r w:rsidR="00E962E7" w:rsidRPr="00876BFB">
        <w:rPr>
          <w:sz w:val="18"/>
          <w:szCs w:val="18"/>
          <w:lang w:val="cs-CZ"/>
        </w:rPr>
        <w:t xml:space="preserve">Zdroj: ČSÚ, </w:t>
      </w:r>
      <w:r w:rsidR="00E962E7" w:rsidRPr="00876BFB">
        <w:rPr>
          <w:i/>
          <w:iCs/>
          <w:sz w:val="18"/>
          <w:szCs w:val="18"/>
          <w:lang w:val="cs-CZ"/>
        </w:rPr>
        <w:t>Projekce obyvatelstva České republiky 2023–2100</w:t>
      </w:r>
      <w:r w:rsidR="00E962E7" w:rsidRPr="00876BFB">
        <w:rPr>
          <w:sz w:val="18"/>
          <w:szCs w:val="18"/>
          <w:lang w:val="cs-CZ"/>
        </w:rPr>
        <w:t xml:space="preserve"> (2023). </w:t>
      </w:r>
      <w:hyperlink r:id="rId1" w:history="1">
        <w:r w:rsidR="00E962E7" w:rsidRPr="00876BFB">
          <w:rPr>
            <w:rStyle w:val="Hyperlink"/>
            <w:sz w:val="18"/>
            <w:szCs w:val="18"/>
            <w:lang w:val="cs-CZ"/>
          </w:rPr>
          <w:t>https://csu.gov.cz/produkty/projekce-obyvatelstva-ceske-republiky-2023-2100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C044B" w14:textId="77777777" w:rsidR="00EF55F2" w:rsidRDefault="00EF55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8316C" w14:textId="0D1EF949" w:rsidR="00B418FC" w:rsidRDefault="00B47CE0" w:rsidP="00B47CE0">
    <w:pPr>
      <w:pStyle w:val="Header"/>
      <w:tabs>
        <w:tab w:val="left" w:pos="0"/>
        <w:tab w:val="left" w:pos="9072"/>
      </w:tabs>
      <w:ind w:hanging="284"/>
    </w:pPr>
    <w:r>
      <w:rPr>
        <w:noProof/>
      </w:rPr>
      <w:drawing>
        <wp:anchor distT="0" distB="0" distL="114300" distR="114300" simplePos="0" relativeHeight="251658241" behindDoc="0" locked="0" layoutInCell="1" allowOverlap="1" wp14:anchorId="6DD505C2" wp14:editId="2A5D725A">
          <wp:simplePos x="0" y="0"/>
          <wp:positionH relativeFrom="column">
            <wp:posOffset>-156845</wp:posOffset>
          </wp:positionH>
          <wp:positionV relativeFrom="paragraph">
            <wp:posOffset>-635</wp:posOffset>
          </wp:positionV>
          <wp:extent cx="1285875" cy="582930"/>
          <wp:effectExtent l="0" t="0" r="0" b="0"/>
          <wp:wrapTopAndBottom/>
          <wp:docPr id="2119607343" name="Grafický 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893749" name="Grafický objekt 32789374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5875" cy="582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1698">
      <w:rPr>
        <w:noProof/>
      </w:rPr>
      <w:drawing>
        <wp:anchor distT="0" distB="0" distL="114300" distR="114300" simplePos="0" relativeHeight="251658240" behindDoc="0" locked="0" layoutInCell="1" allowOverlap="1" wp14:anchorId="3CE8E8ED" wp14:editId="5DF8B19F">
          <wp:simplePos x="0" y="0"/>
          <wp:positionH relativeFrom="column">
            <wp:posOffset>4644390</wp:posOffset>
          </wp:positionH>
          <wp:positionV relativeFrom="paragraph">
            <wp:posOffset>184785</wp:posOffset>
          </wp:positionV>
          <wp:extent cx="1244600" cy="218440"/>
          <wp:effectExtent l="0" t="0" r="0" b="0"/>
          <wp:wrapThrough wrapText="bothSides">
            <wp:wrapPolygon edited="0">
              <wp:start x="1322" y="2512"/>
              <wp:lineTo x="1322" y="17581"/>
              <wp:lineTo x="2645" y="17581"/>
              <wp:lineTo x="18955" y="15070"/>
              <wp:lineTo x="19616" y="7535"/>
              <wp:lineTo x="16751" y="2512"/>
              <wp:lineTo x="1322" y="2512"/>
            </wp:wrapPolygon>
          </wp:wrapThrough>
          <wp:docPr id="1614374434" name="Grafický 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39979" name="Grafický objekt 71839979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600" cy="218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8CDA1E" w14:textId="77777777" w:rsidR="00B418FC" w:rsidRDefault="00B418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E4F3D" w14:textId="77777777" w:rsidR="00EF55F2" w:rsidRDefault="00EF55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AD6"/>
    <w:rsid w:val="000023E7"/>
    <w:rsid w:val="00011F61"/>
    <w:rsid w:val="00022806"/>
    <w:rsid w:val="00036C51"/>
    <w:rsid w:val="00046258"/>
    <w:rsid w:val="00054EC4"/>
    <w:rsid w:val="000800CA"/>
    <w:rsid w:val="000C7AF9"/>
    <w:rsid w:val="0010407E"/>
    <w:rsid w:val="00112E16"/>
    <w:rsid w:val="001201B7"/>
    <w:rsid w:val="00122CC3"/>
    <w:rsid w:val="0013390C"/>
    <w:rsid w:val="00134E82"/>
    <w:rsid w:val="001442E0"/>
    <w:rsid w:val="00152532"/>
    <w:rsid w:val="00154752"/>
    <w:rsid w:val="00165384"/>
    <w:rsid w:val="00185A6C"/>
    <w:rsid w:val="001A0C70"/>
    <w:rsid w:val="001A3B1C"/>
    <w:rsid w:val="001A4FFB"/>
    <w:rsid w:val="001A7399"/>
    <w:rsid w:val="001B5AE8"/>
    <w:rsid w:val="001B7BBB"/>
    <w:rsid w:val="001E191B"/>
    <w:rsid w:val="001F412C"/>
    <w:rsid w:val="00202EB3"/>
    <w:rsid w:val="002137E7"/>
    <w:rsid w:val="00214B64"/>
    <w:rsid w:val="00231215"/>
    <w:rsid w:val="0023442C"/>
    <w:rsid w:val="00235E5B"/>
    <w:rsid w:val="0025148D"/>
    <w:rsid w:val="00287247"/>
    <w:rsid w:val="00292643"/>
    <w:rsid w:val="002A49FC"/>
    <w:rsid w:val="002A7B2C"/>
    <w:rsid w:val="002F5340"/>
    <w:rsid w:val="002F7408"/>
    <w:rsid w:val="00321EF3"/>
    <w:rsid w:val="00330AE8"/>
    <w:rsid w:val="003423FF"/>
    <w:rsid w:val="00351E6A"/>
    <w:rsid w:val="003522EE"/>
    <w:rsid w:val="0039157D"/>
    <w:rsid w:val="00392808"/>
    <w:rsid w:val="003A4FB8"/>
    <w:rsid w:val="003A7DA1"/>
    <w:rsid w:val="003B3435"/>
    <w:rsid w:val="003C57CE"/>
    <w:rsid w:val="003D322B"/>
    <w:rsid w:val="00402901"/>
    <w:rsid w:val="00404127"/>
    <w:rsid w:val="00415150"/>
    <w:rsid w:val="004165F5"/>
    <w:rsid w:val="00416634"/>
    <w:rsid w:val="00417E40"/>
    <w:rsid w:val="00427614"/>
    <w:rsid w:val="00455AC1"/>
    <w:rsid w:val="00462326"/>
    <w:rsid w:val="004978A0"/>
    <w:rsid w:val="004C2D66"/>
    <w:rsid w:val="004E5FD1"/>
    <w:rsid w:val="004F2AE8"/>
    <w:rsid w:val="004F45FD"/>
    <w:rsid w:val="00511DBE"/>
    <w:rsid w:val="00514F02"/>
    <w:rsid w:val="00550A2A"/>
    <w:rsid w:val="00554B17"/>
    <w:rsid w:val="0056010C"/>
    <w:rsid w:val="00563ADC"/>
    <w:rsid w:val="00570AB4"/>
    <w:rsid w:val="00592AAB"/>
    <w:rsid w:val="005C7318"/>
    <w:rsid w:val="005E56B6"/>
    <w:rsid w:val="005F2DC5"/>
    <w:rsid w:val="006138B6"/>
    <w:rsid w:val="006278CD"/>
    <w:rsid w:val="006334BD"/>
    <w:rsid w:val="00636D0C"/>
    <w:rsid w:val="006523A0"/>
    <w:rsid w:val="00673F11"/>
    <w:rsid w:val="00677913"/>
    <w:rsid w:val="00684486"/>
    <w:rsid w:val="00695E1E"/>
    <w:rsid w:val="006A0633"/>
    <w:rsid w:val="006A160C"/>
    <w:rsid w:val="006A27C2"/>
    <w:rsid w:val="006A2F83"/>
    <w:rsid w:val="006B63A5"/>
    <w:rsid w:val="006D3B54"/>
    <w:rsid w:val="006E30C9"/>
    <w:rsid w:val="006F15F2"/>
    <w:rsid w:val="006F59B3"/>
    <w:rsid w:val="00712A5C"/>
    <w:rsid w:val="00726ECF"/>
    <w:rsid w:val="007351DB"/>
    <w:rsid w:val="00751C72"/>
    <w:rsid w:val="00752C18"/>
    <w:rsid w:val="0077534D"/>
    <w:rsid w:val="00777E98"/>
    <w:rsid w:val="00783E10"/>
    <w:rsid w:val="0078660B"/>
    <w:rsid w:val="0079645D"/>
    <w:rsid w:val="007A063F"/>
    <w:rsid w:val="007B728A"/>
    <w:rsid w:val="007C00D8"/>
    <w:rsid w:val="007C416C"/>
    <w:rsid w:val="007D2D61"/>
    <w:rsid w:val="007D4123"/>
    <w:rsid w:val="007E5A77"/>
    <w:rsid w:val="00801B20"/>
    <w:rsid w:val="00811383"/>
    <w:rsid w:val="00824D1C"/>
    <w:rsid w:val="0082569A"/>
    <w:rsid w:val="008377DB"/>
    <w:rsid w:val="008431C2"/>
    <w:rsid w:val="008468C1"/>
    <w:rsid w:val="008479D6"/>
    <w:rsid w:val="00855379"/>
    <w:rsid w:val="00870FE8"/>
    <w:rsid w:val="00876BFB"/>
    <w:rsid w:val="008810E4"/>
    <w:rsid w:val="00881E3F"/>
    <w:rsid w:val="00887AD6"/>
    <w:rsid w:val="008B65FB"/>
    <w:rsid w:val="008B6B78"/>
    <w:rsid w:val="008F7FBD"/>
    <w:rsid w:val="00902D5A"/>
    <w:rsid w:val="00922766"/>
    <w:rsid w:val="0095791A"/>
    <w:rsid w:val="009735E7"/>
    <w:rsid w:val="00993489"/>
    <w:rsid w:val="009965F1"/>
    <w:rsid w:val="009B22D2"/>
    <w:rsid w:val="009B2ADD"/>
    <w:rsid w:val="009C2B1E"/>
    <w:rsid w:val="009E389A"/>
    <w:rsid w:val="009E7CAF"/>
    <w:rsid w:val="009F4876"/>
    <w:rsid w:val="00A05097"/>
    <w:rsid w:val="00A1181A"/>
    <w:rsid w:val="00A20AB4"/>
    <w:rsid w:val="00A27D4A"/>
    <w:rsid w:val="00A40DFD"/>
    <w:rsid w:val="00A54A6F"/>
    <w:rsid w:val="00A85474"/>
    <w:rsid w:val="00A943E8"/>
    <w:rsid w:val="00AA1D81"/>
    <w:rsid w:val="00AC2DA5"/>
    <w:rsid w:val="00AD3E4F"/>
    <w:rsid w:val="00AF5BFC"/>
    <w:rsid w:val="00AF6AD8"/>
    <w:rsid w:val="00B06DAE"/>
    <w:rsid w:val="00B06DD4"/>
    <w:rsid w:val="00B119D4"/>
    <w:rsid w:val="00B11A1D"/>
    <w:rsid w:val="00B27AC4"/>
    <w:rsid w:val="00B325E5"/>
    <w:rsid w:val="00B34448"/>
    <w:rsid w:val="00B418FC"/>
    <w:rsid w:val="00B46E83"/>
    <w:rsid w:val="00B47CE0"/>
    <w:rsid w:val="00B563E5"/>
    <w:rsid w:val="00B661F4"/>
    <w:rsid w:val="00B6756D"/>
    <w:rsid w:val="00B83B92"/>
    <w:rsid w:val="00B91270"/>
    <w:rsid w:val="00B942A7"/>
    <w:rsid w:val="00BA4070"/>
    <w:rsid w:val="00BA6E58"/>
    <w:rsid w:val="00BB0A2F"/>
    <w:rsid w:val="00BB4F1E"/>
    <w:rsid w:val="00BB5803"/>
    <w:rsid w:val="00BC744B"/>
    <w:rsid w:val="00BF3F59"/>
    <w:rsid w:val="00C00E31"/>
    <w:rsid w:val="00C22845"/>
    <w:rsid w:val="00C27712"/>
    <w:rsid w:val="00C8504F"/>
    <w:rsid w:val="00C86EC8"/>
    <w:rsid w:val="00C87381"/>
    <w:rsid w:val="00CA5C3B"/>
    <w:rsid w:val="00CD0303"/>
    <w:rsid w:val="00CD6EC5"/>
    <w:rsid w:val="00CD7ED8"/>
    <w:rsid w:val="00CE00E5"/>
    <w:rsid w:val="00D06B6F"/>
    <w:rsid w:val="00D07353"/>
    <w:rsid w:val="00D17DF7"/>
    <w:rsid w:val="00D24427"/>
    <w:rsid w:val="00D36DDA"/>
    <w:rsid w:val="00D42C31"/>
    <w:rsid w:val="00D47005"/>
    <w:rsid w:val="00D56B8F"/>
    <w:rsid w:val="00D75D46"/>
    <w:rsid w:val="00D92613"/>
    <w:rsid w:val="00D93B79"/>
    <w:rsid w:val="00DB1D9E"/>
    <w:rsid w:val="00DB38DF"/>
    <w:rsid w:val="00DB646D"/>
    <w:rsid w:val="00DC08C6"/>
    <w:rsid w:val="00DC1698"/>
    <w:rsid w:val="00DD2150"/>
    <w:rsid w:val="00DD3822"/>
    <w:rsid w:val="00DF0473"/>
    <w:rsid w:val="00DF7A29"/>
    <w:rsid w:val="00E12391"/>
    <w:rsid w:val="00E15427"/>
    <w:rsid w:val="00E20724"/>
    <w:rsid w:val="00E256B8"/>
    <w:rsid w:val="00E329E7"/>
    <w:rsid w:val="00E55D2B"/>
    <w:rsid w:val="00E613ED"/>
    <w:rsid w:val="00E845F2"/>
    <w:rsid w:val="00E962E7"/>
    <w:rsid w:val="00EB6127"/>
    <w:rsid w:val="00ED3514"/>
    <w:rsid w:val="00EE565A"/>
    <w:rsid w:val="00EF55F2"/>
    <w:rsid w:val="00F00387"/>
    <w:rsid w:val="00F223BD"/>
    <w:rsid w:val="00F34A83"/>
    <w:rsid w:val="00F447D7"/>
    <w:rsid w:val="00F44FA6"/>
    <w:rsid w:val="00F47089"/>
    <w:rsid w:val="00F61FD7"/>
    <w:rsid w:val="00F72563"/>
    <w:rsid w:val="00F761B4"/>
    <w:rsid w:val="00F76B7F"/>
    <w:rsid w:val="00F82A6A"/>
    <w:rsid w:val="00F867AD"/>
    <w:rsid w:val="00F91148"/>
    <w:rsid w:val="00F93BA2"/>
    <w:rsid w:val="00FA51FA"/>
    <w:rsid w:val="00FC25DF"/>
    <w:rsid w:val="00FD2A19"/>
    <w:rsid w:val="00FD30FD"/>
    <w:rsid w:val="00FD39F9"/>
    <w:rsid w:val="00FD69B4"/>
    <w:rsid w:val="00FE2290"/>
    <w:rsid w:val="0772844C"/>
    <w:rsid w:val="12139CD6"/>
    <w:rsid w:val="1958F31C"/>
    <w:rsid w:val="3830B3E9"/>
    <w:rsid w:val="4D5FB795"/>
    <w:rsid w:val="5925D3DA"/>
    <w:rsid w:val="5D8D8347"/>
    <w:rsid w:val="7B56D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C13E3"/>
  <w15:chartTrackingRefBased/>
  <w15:docId w15:val="{0358B87E-F47C-474E-8D5B-0206887A3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18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8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8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8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8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8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8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8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8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8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8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8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8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8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8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8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8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8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8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8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8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8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8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8F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1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8FC"/>
  </w:style>
  <w:style w:type="paragraph" w:styleId="Footer">
    <w:name w:val="footer"/>
    <w:basedOn w:val="Normal"/>
    <w:link w:val="FooterChar"/>
    <w:uiPriority w:val="99"/>
    <w:unhideWhenUsed/>
    <w:rsid w:val="00B41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8FC"/>
  </w:style>
  <w:style w:type="paragraph" w:customStyle="1" w:styleId="paragraph">
    <w:name w:val="paragraph"/>
    <w:basedOn w:val="Normal"/>
    <w:rsid w:val="00592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customStyle="1" w:styleId="BasicParagraph">
    <w:name w:val="[Basic Paragraph]"/>
    <w:basedOn w:val="Normal"/>
    <w:uiPriority w:val="99"/>
    <w:rsid w:val="00DC1698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lang w:val="en-US"/>
    </w:rPr>
  </w:style>
  <w:style w:type="table" w:styleId="TableGrid">
    <w:name w:val="Table Grid"/>
    <w:basedOn w:val="TableNormal"/>
    <w:uiPriority w:val="39"/>
    <w:rsid w:val="00AF5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06D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6DA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523A0"/>
    <w:pPr>
      <w:spacing w:after="0" w:line="240" w:lineRule="auto"/>
    </w:pPr>
  </w:style>
  <w:style w:type="character" w:customStyle="1" w:styleId="CommentReference1">
    <w:name w:val="Comment Reference1"/>
    <w:basedOn w:val="DefaultParagraphFont"/>
    <w:uiPriority w:val="99"/>
    <w:semiHidden/>
    <w:unhideWhenUsed/>
    <w:rsid w:val="00330AE8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330A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330AE8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330AE8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330AE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F45FD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1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40290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402901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1D8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1D8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1D81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E962E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ovakova@pentafund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pentafund.com/cz/dokumenty-ke-stazeni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entafund.com/cz/penta-healthcare-infrastructure-fund/?_gl=1*qftgkg*_up*MQ..*_ga*MTQzNjI2NDc4OC4xNzkyNTA0NjI2*_ga_S40G0YM5D7*czE3OTI1MDQ1OTAkbzEkZzAkdDE3OTI1MDQ2MjYkajI0JGwwJGgw*_ga_31VQ3GKT8Z*czE3OTI1MDQ2MjYkbzEkZzAkdDE3OTI1MDQ2MjYkajYwJGwwJGgxMDM1ODg2MzUw" TargetMode="Externa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ristyna.dolejsova@stance.cz" TargetMode="Externa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/produkty/projekce-obyvatelstva-ceske-republiky-2023-2100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9da473-f986-433b-ba28-2161905a5557">
      <Terms xmlns="http://schemas.microsoft.com/office/infopath/2007/PartnerControls"/>
    </lcf76f155ced4ddcb4097134ff3c332f>
    <TaxCatchAll xmlns="fcb029d5-8373-4fd6-9a24-052936fcddd6" xsi:nil="true"/>
    <_Flow_SignoffStatus xmlns="649da473-f986-433b-ba28-2161905a5557" xsi:nil="true"/>
    <_dlc_DocId xmlns="fcb029d5-8373-4fd6-9a24-052936fcddd6">YFJNKPXJFCS7-147399599-11698</_dlc_DocId>
    <_dlc_DocIdUrl xmlns="fcb029d5-8373-4fd6-9a24-052936fcddd6">
      <Url>https://pentaholding.sharepoint.com/sites/PentaFund/_layouts/15/DocIdRedir.aspx?ID=YFJNKPXJFCS7-147399599-11698</Url>
      <Description>YFJNKPXJFCS7-147399599-11698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13F1CA3745A940BDC58A9FFB608BE2" ma:contentTypeVersion="17" ma:contentTypeDescription="Create a new document." ma:contentTypeScope="" ma:versionID="ee0928a4a57828beb13ca31951af359c">
  <xsd:schema xmlns:xsd="http://www.w3.org/2001/XMLSchema" xmlns:xs="http://www.w3.org/2001/XMLSchema" xmlns:p="http://schemas.microsoft.com/office/2006/metadata/properties" xmlns:ns2="fcb029d5-8373-4fd6-9a24-052936fcddd6" xmlns:ns3="649da473-f986-433b-ba28-2161905a5557" targetNamespace="http://schemas.microsoft.com/office/2006/metadata/properties" ma:root="true" ma:fieldsID="9c326b4fc48f80fe8f4bbb8aa3bfd9c4" ns2:_="" ns3:_="">
    <xsd:import namespace="fcb029d5-8373-4fd6-9a24-052936fcddd6"/>
    <xsd:import namespace="649da473-f986-433b-ba28-2161905a55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029d5-8373-4fd6-9a24-052936fcddd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f0db8f4-f6ed-40cc-ab82-0197b5f23479}" ma:internalName="TaxCatchAll" ma:showField="CatchAllData" ma:web="fcb029d5-8373-4fd6-9a24-052936fcdd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9da473-f986-433b-ba28-2161905a5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f7a4157-7477-41cd-b39a-18ed2ec4d2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BB2DE7-FCDE-4536-B940-C611B4AD10BE}">
  <ds:schemaRefs>
    <ds:schemaRef ds:uri="http://schemas.microsoft.com/office/2006/metadata/properties"/>
    <ds:schemaRef ds:uri="http://schemas.microsoft.com/office/infopath/2007/PartnerControls"/>
    <ds:schemaRef ds:uri="649da473-f986-433b-ba28-2161905a5557"/>
    <ds:schemaRef ds:uri="fcb029d5-8373-4fd6-9a24-052936fcddd6"/>
  </ds:schemaRefs>
</ds:datastoreItem>
</file>

<file path=customXml/itemProps2.xml><?xml version="1.0" encoding="utf-8"?>
<ds:datastoreItem xmlns:ds="http://schemas.openxmlformats.org/officeDocument/2006/customXml" ds:itemID="{239BB7C2-4713-44F6-809D-BDBC31E6A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b029d5-8373-4fd6-9a24-052936fcddd6"/>
    <ds:schemaRef ds:uri="649da473-f986-433b-ba28-2161905a55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89F7D6-0DC5-408E-B99C-06F67380E50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2754852-18FE-714C-9ED9-21E5CAD7E0A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C3B5F93-6C53-4FE7-9CF2-7B325CD818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843</Words>
  <Characters>4974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Valkyova</dc:creator>
  <cp:keywords/>
  <dc:description/>
  <cp:lastModifiedBy>Nováková Dagmar</cp:lastModifiedBy>
  <cp:revision>2</cp:revision>
  <cp:lastPrinted>2026-10-19T08:32:00Z</cp:lastPrinted>
  <dcterms:created xsi:type="dcterms:W3CDTF">2026-10-20T14:17:00Z</dcterms:created>
  <dcterms:modified xsi:type="dcterms:W3CDTF">2026-10-20T14:17:00Z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0x010100DE13F1CA3745A940BDC58A9FFB608BE2</vt:lpwstr>
  </property>
  <property fmtid="{D5CDD505-2E9C-101B-9397-08002B2CF9AE}" pid="3" name="MediaServiceImageTags">
    <vt:lpwstr/>
  </property>
  <property fmtid="{D5CDD505-2E9C-101B-9397-08002B2CF9AE}" pid="4" name="GrammarlyDocumentId">
    <vt:lpwstr>0cbaeebfab6645c5c546c174512ee3d53af73eba7d304fe3873ceebefefc2b4c</vt:lpwstr>
  </property>
  <property fmtid="{D5CDD505-2E9C-101B-9397-08002B2CF9AE}" pid="5" name="_dlc_DocIdItemGuid">
    <vt:lpwstr>28c9e0d9-f3db-4f9a-b514-6459be53fa6d</vt:lpwstr>
  </property>
</Properties>
</file>