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7FDF" w14:textId="3F8C419D" w:rsidR="00353611" w:rsidRPr="00353611" w:rsidRDefault="008832E0" w:rsidP="00353611">
      <w:pPr>
        <w:rPr>
          <w:rFonts w:ascii="Times New Roman" w:hAnsi="Times New Roman" w:cs="Times New Roman"/>
          <w:kern w:val="0"/>
          <w:sz w:val="54"/>
          <w:szCs w:val="54"/>
        </w:rPr>
      </w:pPr>
      <w:r w:rsidRPr="008832E0">
        <w:rPr>
          <w:rFonts w:ascii="Times New Roman" w:hAnsi="Times New Roman" w:cs="Times New Roman"/>
          <w:kern w:val="0"/>
          <w:sz w:val="54"/>
          <w:szCs w:val="54"/>
        </w:rPr>
        <w:t>Od dubna na investiční byt bez 30 % ze svého nedosáhnete</w:t>
      </w:r>
    </w:p>
    <w:p w14:paraId="540013D4" w14:textId="23DAB88A" w:rsidR="00353611" w:rsidRPr="00862F60" w:rsidRDefault="00212F33" w:rsidP="00353611">
      <w:pPr>
        <w:rPr>
          <w:rFonts w:cstheme="minorHAnsi"/>
          <w:b/>
          <w:bCs/>
          <w:kern w:val="0"/>
        </w:rPr>
      </w:pPr>
      <w:r w:rsidRPr="008832E0">
        <w:rPr>
          <w:rFonts w:cstheme="minorHAnsi"/>
          <w:b/>
          <w:bCs/>
          <w:kern w:val="0"/>
        </w:rPr>
        <w:t xml:space="preserve">Datum 1. dubna 2026 nebude pro realitní trh aprílem, ale </w:t>
      </w:r>
      <w:r w:rsidR="00A325C6">
        <w:rPr>
          <w:rFonts w:cstheme="minorHAnsi"/>
          <w:b/>
          <w:bCs/>
          <w:kern w:val="0"/>
        </w:rPr>
        <w:t xml:space="preserve">spíše </w:t>
      </w:r>
      <w:r w:rsidRPr="008832E0">
        <w:rPr>
          <w:rFonts w:cstheme="minorHAnsi"/>
          <w:b/>
          <w:bCs/>
          <w:kern w:val="0"/>
        </w:rPr>
        <w:t>studenou sprchou. Česká národní banka po období varování přechází k činům a pro investory do nemovitostí mění pravidla hry. Éra, kdy se dalo budovat portfolio bytů s minimálním kapitálem a maximální „pákou“, definitivně končí. Trh se pročistí a zůstanou na něm jen ti, kdo umí počítat a mají hotovost.</w:t>
      </w:r>
    </w:p>
    <w:p w14:paraId="0584B12D" w14:textId="4C5BACD2" w:rsidR="00353611" w:rsidRPr="00353611" w:rsidRDefault="00212F33" w:rsidP="00353611">
      <w:pPr>
        <w:rPr>
          <w:rFonts w:cstheme="minorHAnsi"/>
          <w:kern w:val="0"/>
        </w:rPr>
      </w:pPr>
      <w:r w:rsidRPr="00212F33">
        <w:rPr>
          <w:rFonts w:cstheme="minorHAnsi"/>
          <w:kern w:val="0"/>
        </w:rPr>
        <w:t>Záměr centrální banky je čitelný: zchladit trh, kde ceny nemovitostí rostou dvouciferným tempem, a omezit rizikové úvěry, kterých mezi investičními hypotékami přibývá. Ačkoliv jde formálně o doporučení, banky ho budou brát jako zákon. Pro investora to znamená jediné – pokud nemáte připravený balík vlastních peněz, na hypotéku pro další byt pravděpodobně nedosáhnete</w:t>
      </w:r>
      <w:r w:rsidR="0038550C">
        <w:rPr>
          <w:rFonts w:cstheme="minorHAnsi"/>
          <w:kern w:val="0"/>
        </w:rPr>
        <w:t>.</w:t>
      </w:r>
    </w:p>
    <w:p w14:paraId="506B1ABB" w14:textId="4587D987" w:rsidR="00353611" w:rsidRPr="00353611" w:rsidRDefault="00212F33" w:rsidP="00353611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kern w:val="0"/>
        </w:rPr>
      </w:pPr>
      <w:r w:rsidRPr="00212F33">
        <w:rPr>
          <w:rFonts w:cstheme="minorHAnsi"/>
          <w:b/>
          <w:bCs/>
          <w:kern w:val="0"/>
        </w:rPr>
        <w:t>Tvrdý náraz pro klienty s</w:t>
      </w:r>
      <w:r w:rsidR="00353611">
        <w:rPr>
          <w:rFonts w:cstheme="minorHAnsi"/>
          <w:b/>
          <w:bCs/>
          <w:kern w:val="0"/>
        </w:rPr>
        <w:t> </w:t>
      </w:r>
      <w:r w:rsidRPr="00212F33">
        <w:rPr>
          <w:rFonts w:cstheme="minorHAnsi"/>
          <w:b/>
          <w:bCs/>
          <w:kern w:val="0"/>
        </w:rPr>
        <w:t>výjimkami</w:t>
      </w:r>
    </w:p>
    <w:p w14:paraId="3CFEC31E" w14:textId="04F746ED" w:rsidR="00212F33" w:rsidRDefault="00212F33" w:rsidP="00353611">
      <w:pPr>
        <w:rPr>
          <w:rFonts w:cstheme="minorHAnsi"/>
          <w:kern w:val="0"/>
        </w:rPr>
      </w:pPr>
      <w:r w:rsidRPr="00212F33">
        <w:rPr>
          <w:rFonts w:cstheme="minorHAnsi"/>
          <w:kern w:val="0"/>
        </w:rPr>
        <w:t xml:space="preserve">Zatímco dosud bylo běžné </w:t>
      </w:r>
      <w:r w:rsidR="0038550C">
        <w:rPr>
          <w:rFonts w:cstheme="minorHAnsi"/>
          <w:kern w:val="0"/>
        </w:rPr>
        <w:t xml:space="preserve">hypotékou </w:t>
      </w:r>
      <w:r w:rsidRPr="00212F33">
        <w:rPr>
          <w:rFonts w:cstheme="minorHAnsi"/>
          <w:kern w:val="0"/>
        </w:rPr>
        <w:t>financovat až 80 % hodnoty nemovitosti</w:t>
      </w:r>
      <w:r w:rsidRPr="00AB3FD6">
        <w:rPr>
          <w:rFonts w:cstheme="minorHAnsi"/>
          <w:kern w:val="0"/>
        </w:rPr>
        <w:t xml:space="preserve"> (a na výjimky u některých bank i 90 %), od dubna klesá limit LTV striktně na 70 %. To je pro trh zásadní změna. Investoři budou muset ze svého pokrýt minimálně 30 % ceny, což u pražských bytů znamená miliony korun navíc</w:t>
      </w:r>
      <w:r w:rsidR="0038550C">
        <w:rPr>
          <w:rFonts w:cstheme="minorHAnsi"/>
          <w:kern w:val="0"/>
        </w:rPr>
        <w:t>.</w:t>
      </w:r>
    </w:p>
    <w:p w14:paraId="4097E215" w14:textId="006C61B2" w:rsidR="00212F33" w:rsidRPr="00862F60" w:rsidRDefault="00212F33" w:rsidP="0035361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B3FD6">
        <w:rPr>
          <w:rFonts w:cstheme="minorHAnsi"/>
          <w:kern w:val="0"/>
        </w:rPr>
        <w:t xml:space="preserve">Největší šok čeká klienty bank, které byly dosud benevolentnější. Například Komerční banka uměla na výjimku financovat investiční byty až do 90 % LTV. Skok na nových 70 % je pro její klienty drastický – ze dne na den budou potřebovat trojnásobek vlastního kapitálu, </w:t>
      </w:r>
      <w:r w:rsidR="00BE75C9">
        <w:rPr>
          <w:rFonts w:cstheme="minorHAnsi"/>
          <w:kern w:val="0"/>
        </w:rPr>
        <w:t>se kterým</w:t>
      </w:r>
      <w:r w:rsidRPr="00AB3FD6">
        <w:rPr>
          <w:rFonts w:cstheme="minorHAnsi"/>
          <w:kern w:val="0"/>
        </w:rPr>
        <w:t xml:space="preserve"> možná kalkulovali.</w:t>
      </w:r>
    </w:p>
    <w:p w14:paraId="64B70AB5" w14:textId="1F2A4877" w:rsidR="00212F33" w:rsidRDefault="00212F33" w:rsidP="0035361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B3FD6">
        <w:rPr>
          <w:rFonts w:cstheme="minorHAnsi"/>
          <w:b/>
          <w:bCs/>
          <w:kern w:val="0"/>
        </w:rPr>
        <w:t>Matematika, která mnohým nevyjde</w:t>
      </w:r>
    </w:p>
    <w:p w14:paraId="18914CAB" w14:textId="383FDAF8" w:rsidR="00212F33" w:rsidRDefault="00212F33" w:rsidP="0035361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B3FD6">
        <w:rPr>
          <w:rFonts w:cstheme="minorHAnsi"/>
          <w:kern w:val="0"/>
        </w:rPr>
        <w:t>Ještě větším „zabijákem“ investičních plánů může být znovuzavedení stropu celkového zadlužení (DTI) na sedminásobek čistého ročního příjmu.</w:t>
      </w:r>
    </w:p>
    <w:p w14:paraId="5B18D80F" w14:textId="7DD750A2" w:rsidR="00212F33" w:rsidRDefault="00212F33" w:rsidP="0035361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B3FD6">
        <w:rPr>
          <w:rFonts w:cstheme="minorHAnsi"/>
          <w:kern w:val="0"/>
        </w:rPr>
        <w:t>Uveďme si to na příkladu z praxe: Investor s čistým příjmem 80 000 Kč měsíčně, který chce koupit byt za 5 milionů. Po 1. dubnu bude potřebovat nejen o půl milionu více v hotovosti (celkem 1,5 milionu vlastních zdrojů), ale jeho úvěrový strop bude necelých 6,8 milionu korun. Pokud už splácí hypotéku na vlastní bydlení nebo jiný úvěr, jeho kapacita bude vyčerpaná a banka mu nepůjčí ani korunu</w:t>
      </w:r>
      <w:r>
        <w:rPr>
          <w:rFonts w:cstheme="minorHAnsi"/>
          <w:kern w:val="0"/>
        </w:rPr>
        <w:t>.</w:t>
      </w:r>
    </w:p>
    <w:p w14:paraId="72C299BA" w14:textId="1534BFE8" w:rsidR="00212F33" w:rsidRDefault="00212F33" w:rsidP="0035361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Co čekat? Oficiální čísla vs. </w:t>
      </w:r>
      <w:r w:rsidR="0038550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r</w:t>
      </w:r>
      <w:r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ealita</w:t>
      </w:r>
    </w:p>
    <w:p w14:paraId="66A9F903" w14:textId="7165BED1" w:rsidR="00212F33" w:rsidRDefault="00212F33" w:rsidP="00353611">
      <w:pPr>
        <w:rPr>
          <w:rFonts w:cstheme="minorHAnsi"/>
          <w:kern w:val="0"/>
        </w:rPr>
      </w:pPr>
      <w:r w:rsidRPr="00AB3FD6">
        <w:rPr>
          <w:rFonts w:cstheme="minorHAnsi"/>
          <w:kern w:val="0"/>
        </w:rPr>
        <w:t>ČNB odhaduje, že se opatření dotkne necelých 10 % objemu nových hypoték. Expertní odhady z trhu jsou ale skeptičtější a hovoří až o 20 %, protože mnoho investorů dosud svůj záměr bance formálně nehlásilo</w:t>
      </w:r>
      <w:r>
        <w:rPr>
          <w:rFonts w:cstheme="minorHAnsi"/>
          <w:kern w:val="0"/>
        </w:rPr>
        <w:t>.</w:t>
      </w:r>
    </w:p>
    <w:p w14:paraId="73AB5C53" w14:textId="1F93353F" w:rsidR="00212F33" w:rsidRDefault="00212F33" w:rsidP="00353611">
      <w:pPr>
        <w:rPr>
          <w:rFonts w:cstheme="minorHAnsi"/>
          <w:kern w:val="0"/>
        </w:rPr>
      </w:pPr>
      <w:r w:rsidRPr="00AB3FD6">
        <w:rPr>
          <w:rFonts w:cstheme="minorHAnsi"/>
          <w:kern w:val="0"/>
        </w:rPr>
        <w:t>Dopad bude jasný: trh se rozdělí. Bydlení pro vlastní potřebu zůstane regulací nedotčeno, ale investiční segment ovládne kvalita a cash-</w:t>
      </w:r>
      <w:proofErr w:type="spellStart"/>
      <w:r w:rsidRPr="00AB3FD6">
        <w:rPr>
          <w:rFonts w:cstheme="minorHAnsi"/>
          <w:kern w:val="0"/>
        </w:rPr>
        <w:t>flow</w:t>
      </w:r>
      <w:proofErr w:type="spellEnd"/>
      <w:r w:rsidRPr="00AB3FD6">
        <w:rPr>
          <w:rFonts w:cstheme="minorHAnsi"/>
          <w:kern w:val="0"/>
        </w:rPr>
        <w:t xml:space="preserve">. Aby dávalo smysl </w:t>
      </w:r>
      <w:r w:rsidR="00BE75C9">
        <w:rPr>
          <w:rFonts w:cstheme="minorHAnsi"/>
          <w:kern w:val="0"/>
        </w:rPr>
        <w:t>„</w:t>
      </w:r>
      <w:r w:rsidRPr="00AB3FD6">
        <w:rPr>
          <w:rFonts w:cstheme="minorHAnsi"/>
          <w:kern w:val="0"/>
        </w:rPr>
        <w:t>uzamknout</w:t>
      </w:r>
      <w:r w:rsidR="00BE75C9">
        <w:rPr>
          <w:rFonts w:cstheme="minorHAnsi"/>
          <w:kern w:val="0"/>
        </w:rPr>
        <w:t>“</w:t>
      </w:r>
      <w:r w:rsidRPr="00AB3FD6">
        <w:rPr>
          <w:rFonts w:cstheme="minorHAnsi"/>
          <w:kern w:val="0"/>
        </w:rPr>
        <w:t xml:space="preserve"> v</w:t>
      </w:r>
      <w:r w:rsidR="008832E0">
        <w:rPr>
          <w:rFonts w:cstheme="minorHAnsi"/>
          <w:kern w:val="0"/>
        </w:rPr>
        <w:t> </w:t>
      </w:r>
      <w:r w:rsidRPr="00AB3FD6">
        <w:rPr>
          <w:rFonts w:cstheme="minorHAnsi"/>
          <w:kern w:val="0"/>
        </w:rPr>
        <w:t>nemovitosti</w:t>
      </w:r>
      <w:r w:rsidR="008832E0">
        <w:rPr>
          <w:rFonts w:cstheme="minorHAnsi"/>
          <w:kern w:val="0"/>
        </w:rPr>
        <w:br/>
      </w:r>
      <w:r w:rsidRPr="00AB3FD6">
        <w:rPr>
          <w:rFonts w:cstheme="minorHAnsi"/>
          <w:kern w:val="0"/>
        </w:rPr>
        <w:t xml:space="preserve">30 </w:t>
      </w:r>
      <w:r w:rsidR="0038550C">
        <w:rPr>
          <w:rFonts w:cstheme="minorHAnsi"/>
          <w:kern w:val="0"/>
        </w:rPr>
        <w:t xml:space="preserve">% </w:t>
      </w:r>
      <w:r w:rsidRPr="00AB3FD6">
        <w:rPr>
          <w:rFonts w:cstheme="minorHAnsi"/>
          <w:kern w:val="0"/>
        </w:rPr>
        <w:t>vlastních peněz</w:t>
      </w:r>
      <w:r w:rsidR="0038550C">
        <w:rPr>
          <w:rFonts w:cstheme="minorHAnsi"/>
          <w:kern w:val="0"/>
        </w:rPr>
        <w:t>,</w:t>
      </w:r>
      <w:r w:rsidR="00BE75C9">
        <w:rPr>
          <w:rFonts w:cstheme="minorHAnsi"/>
          <w:kern w:val="0"/>
        </w:rPr>
        <w:t xml:space="preserve"> musí </w:t>
      </w:r>
      <w:proofErr w:type="gramStart"/>
      <w:r w:rsidR="00BE75C9">
        <w:rPr>
          <w:rFonts w:cstheme="minorHAnsi"/>
          <w:kern w:val="0"/>
        </w:rPr>
        <w:t>b</w:t>
      </w:r>
      <w:r w:rsidR="0038550C">
        <w:rPr>
          <w:rFonts w:cstheme="minorHAnsi"/>
          <w:kern w:val="0"/>
        </w:rPr>
        <w:t>y</w:t>
      </w:r>
      <w:r w:rsidR="00BE75C9">
        <w:rPr>
          <w:rFonts w:cstheme="minorHAnsi"/>
          <w:kern w:val="0"/>
        </w:rPr>
        <w:t>t</w:t>
      </w:r>
      <w:proofErr w:type="gramEnd"/>
      <w:r w:rsidRPr="00AB3FD6">
        <w:rPr>
          <w:rFonts w:cstheme="minorHAnsi"/>
          <w:kern w:val="0"/>
        </w:rPr>
        <w:t xml:space="preserve"> generovat okamžitý reálný výnos. Skončí nakupování „na objem“ a začne se tvrdě selektovat</w:t>
      </w:r>
      <w:r>
        <w:rPr>
          <w:rFonts w:cstheme="minorHAnsi"/>
          <w:kern w:val="0"/>
        </w:rPr>
        <w:t>.</w:t>
      </w:r>
    </w:p>
    <w:p w14:paraId="33A79B27" w14:textId="5416F1F0" w:rsidR="00212F33" w:rsidRPr="00862F60" w:rsidRDefault="00212F33" w:rsidP="00353611">
      <w:pPr>
        <w:rPr>
          <w:rFonts w:cstheme="minorHAnsi"/>
          <w:kern w:val="0"/>
        </w:rPr>
      </w:pPr>
      <w:r w:rsidRPr="00AB3FD6">
        <w:rPr>
          <w:rFonts w:cstheme="minorHAnsi"/>
          <w:kern w:val="0"/>
        </w:rPr>
        <w:t>Pro ty, kdo o investici uvažují, tak běží neúprosný odpočet. Do 1. dubna zbýv</w:t>
      </w:r>
      <w:r w:rsidR="00BE75C9">
        <w:rPr>
          <w:rFonts w:cstheme="minorHAnsi"/>
          <w:kern w:val="0"/>
        </w:rPr>
        <w:t xml:space="preserve">ají polední </w:t>
      </w:r>
      <w:r w:rsidRPr="00AB3FD6">
        <w:rPr>
          <w:rFonts w:cstheme="minorHAnsi"/>
          <w:kern w:val="0"/>
        </w:rPr>
        <w:t>týdn</w:t>
      </w:r>
      <w:r w:rsidR="00BE75C9">
        <w:rPr>
          <w:rFonts w:cstheme="minorHAnsi"/>
          <w:kern w:val="0"/>
        </w:rPr>
        <w:t>y</w:t>
      </w:r>
      <w:r w:rsidRPr="00AB3FD6">
        <w:rPr>
          <w:rFonts w:cstheme="minorHAnsi"/>
          <w:kern w:val="0"/>
        </w:rPr>
        <w:t>, kdy lze ještě využít stávajících pravidel. Kdo má rozjednaný obchod, měl by ho urychleně dotáhnout, protože po dubnu už to nebude o rychlosti, ale o tvrdých finančních limitech</w:t>
      </w:r>
      <w:r>
        <w:rPr>
          <w:rFonts w:cstheme="minorHAnsi"/>
          <w:kern w:val="0"/>
        </w:rPr>
        <w:t>.</w:t>
      </w:r>
    </w:p>
    <w:p w14:paraId="06096F8C" w14:textId="77777777" w:rsidR="001B319B" w:rsidRDefault="001B319B" w:rsidP="00353611">
      <w:pPr>
        <w:jc w:val="right"/>
        <w:rPr>
          <w:b/>
          <w:bCs/>
        </w:rPr>
      </w:pPr>
      <w:r w:rsidRPr="009726C4">
        <w:rPr>
          <w:b/>
          <w:bCs/>
        </w:rPr>
        <w:t>David Bureš, zakladatel &amp; CEO FLET</w:t>
      </w:r>
    </w:p>
    <w:p w14:paraId="30491D67" w14:textId="57F38820" w:rsidR="00353611" w:rsidRPr="009726C4" w:rsidRDefault="009726C4" w:rsidP="00353611">
      <w:pPr>
        <w:spacing w:after="0"/>
        <w:rPr>
          <w:b/>
          <w:bCs/>
        </w:rPr>
      </w:pPr>
      <w:r w:rsidRPr="009726C4">
        <w:rPr>
          <w:b/>
          <w:bCs/>
        </w:rPr>
        <w:lastRenderedPageBreak/>
        <w:t>O společnosti FLET</w:t>
      </w:r>
    </w:p>
    <w:p w14:paraId="6345F66A" w14:textId="371EC21E" w:rsidR="007571FB" w:rsidRDefault="009726C4" w:rsidP="00353611">
      <w:pPr>
        <w:spacing w:after="0"/>
      </w:pPr>
      <w:r>
        <w:t xml:space="preserve">Firmu </w:t>
      </w:r>
      <w:proofErr w:type="spellStart"/>
      <w:r>
        <w:t>Flet</w:t>
      </w:r>
      <w:proofErr w:type="spellEnd"/>
      <w:r>
        <w:t xml:space="preserve">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8" w:history="1">
        <w:r w:rsidR="007571FB" w:rsidRPr="003E4BEE">
          <w:rPr>
            <w:rStyle w:val="Hypertextovodkaz"/>
          </w:rPr>
          <w:t>www.flet.cz</w:t>
        </w:r>
      </w:hyperlink>
      <w:r>
        <w:t>.</w:t>
      </w:r>
    </w:p>
    <w:p w14:paraId="2AF622D4" w14:textId="77777777" w:rsidR="00353611" w:rsidRDefault="00353611" w:rsidP="00353611">
      <w:pPr>
        <w:spacing w:after="0"/>
      </w:pPr>
    </w:p>
    <w:p w14:paraId="65A2AFBC" w14:textId="1EB319DA" w:rsidR="00353611" w:rsidRPr="007571FB" w:rsidRDefault="007571FB" w:rsidP="00353611">
      <w:pPr>
        <w:spacing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19B7DC90" w:rsidR="007571FB" w:rsidRPr="007571FB" w:rsidRDefault="007571FB" w:rsidP="00353611">
      <w:pPr>
        <w:spacing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64E2F8D5" w14:textId="77777777" w:rsidR="007571FB" w:rsidRPr="007571FB" w:rsidRDefault="007571FB" w:rsidP="00353611">
      <w:pPr>
        <w:spacing w:after="0"/>
      </w:pPr>
      <w:proofErr w:type="spellStart"/>
      <w:r w:rsidRPr="007571FB">
        <w:t>Account</w:t>
      </w:r>
      <w:proofErr w:type="spellEnd"/>
      <w:r w:rsidRPr="007571FB">
        <w:t xml:space="preserve"> Manager</w:t>
      </w:r>
    </w:p>
    <w:p w14:paraId="727102AE" w14:textId="77777777" w:rsidR="007571FB" w:rsidRPr="007571FB" w:rsidRDefault="007571FB" w:rsidP="00353611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353611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353611">
      <w:pPr>
        <w:spacing w:after="0"/>
      </w:pPr>
      <w:r w:rsidRPr="007571FB">
        <w:t>Tel.: +420 602 434 733</w:t>
      </w:r>
    </w:p>
    <w:p w14:paraId="256FB2E5" w14:textId="3BE8A898" w:rsidR="007571FB" w:rsidRPr="007571FB" w:rsidRDefault="007571FB" w:rsidP="00353611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p w14:paraId="153FDE23" w14:textId="77777777" w:rsidR="007571FB" w:rsidRDefault="007571FB" w:rsidP="00353611">
      <w:pPr>
        <w:spacing w:after="0"/>
      </w:pPr>
    </w:p>
    <w:p w14:paraId="7608DFE7" w14:textId="77777777" w:rsidR="00205495" w:rsidRDefault="00205495" w:rsidP="00353611">
      <w:pPr>
        <w:spacing w:after="0"/>
      </w:pPr>
    </w:p>
    <w:sectPr w:rsidR="00205495" w:rsidSect="009726C4">
      <w:head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2B04" w14:textId="77777777" w:rsidR="006C6A28" w:rsidRDefault="006C6A28" w:rsidP="009726C4">
      <w:pPr>
        <w:spacing w:after="0" w:line="240" w:lineRule="auto"/>
      </w:pPr>
      <w:r>
        <w:separator/>
      </w:r>
    </w:p>
  </w:endnote>
  <w:endnote w:type="continuationSeparator" w:id="0">
    <w:p w14:paraId="4C695485" w14:textId="77777777" w:rsidR="006C6A28" w:rsidRDefault="006C6A28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3613" w14:textId="77777777" w:rsidR="006C6A28" w:rsidRDefault="006C6A28" w:rsidP="009726C4">
      <w:pPr>
        <w:spacing w:after="0" w:line="240" w:lineRule="auto"/>
      </w:pPr>
      <w:r>
        <w:separator/>
      </w:r>
    </w:p>
  </w:footnote>
  <w:footnote w:type="continuationSeparator" w:id="0">
    <w:p w14:paraId="3124D1D9" w14:textId="77777777" w:rsidR="006C6A28" w:rsidRDefault="006C6A28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35985F1D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4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256F6"/>
    <w:rsid w:val="0004674B"/>
    <w:rsid w:val="000503AC"/>
    <w:rsid w:val="00081290"/>
    <w:rsid w:val="000A7B0A"/>
    <w:rsid w:val="000B2BFF"/>
    <w:rsid w:val="000E154E"/>
    <w:rsid w:val="00102D24"/>
    <w:rsid w:val="00114C19"/>
    <w:rsid w:val="00155B78"/>
    <w:rsid w:val="00172222"/>
    <w:rsid w:val="001B319B"/>
    <w:rsid w:val="00205495"/>
    <w:rsid w:val="00210D9C"/>
    <w:rsid w:val="00212F33"/>
    <w:rsid w:val="00224B6E"/>
    <w:rsid w:val="00260211"/>
    <w:rsid w:val="002B6967"/>
    <w:rsid w:val="002E59A9"/>
    <w:rsid w:val="00353611"/>
    <w:rsid w:val="003560D6"/>
    <w:rsid w:val="0038550C"/>
    <w:rsid w:val="003F3021"/>
    <w:rsid w:val="004004B3"/>
    <w:rsid w:val="00404DAD"/>
    <w:rsid w:val="00415BEB"/>
    <w:rsid w:val="004173FC"/>
    <w:rsid w:val="00457DB1"/>
    <w:rsid w:val="004B627B"/>
    <w:rsid w:val="00540E76"/>
    <w:rsid w:val="00644F55"/>
    <w:rsid w:val="00653C87"/>
    <w:rsid w:val="00684A64"/>
    <w:rsid w:val="006C6A28"/>
    <w:rsid w:val="00705052"/>
    <w:rsid w:val="007571FB"/>
    <w:rsid w:val="00796562"/>
    <w:rsid w:val="007D7AC6"/>
    <w:rsid w:val="00827526"/>
    <w:rsid w:val="00866BD6"/>
    <w:rsid w:val="008832E0"/>
    <w:rsid w:val="008B51E0"/>
    <w:rsid w:val="008E0026"/>
    <w:rsid w:val="00941D88"/>
    <w:rsid w:val="00942881"/>
    <w:rsid w:val="009431E0"/>
    <w:rsid w:val="009726C4"/>
    <w:rsid w:val="009B4CAB"/>
    <w:rsid w:val="00A01EFE"/>
    <w:rsid w:val="00A16B6D"/>
    <w:rsid w:val="00A17D62"/>
    <w:rsid w:val="00A325C6"/>
    <w:rsid w:val="00A646E8"/>
    <w:rsid w:val="00A774A3"/>
    <w:rsid w:val="00A90C36"/>
    <w:rsid w:val="00AA6C19"/>
    <w:rsid w:val="00AA7384"/>
    <w:rsid w:val="00AD1697"/>
    <w:rsid w:val="00AD1DCE"/>
    <w:rsid w:val="00AF25F4"/>
    <w:rsid w:val="00AF5C7C"/>
    <w:rsid w:val="00BD4F07"/>
    <w:rsid w:val="00BE75C9"/>
    <w:rsid w:val="00CB4887"/>
    <w:rsid w:val="00DB59DA"/>
    <w:rsid w:val="00DD28A6"/>
    <w:rsid w:val="00DE3900"/>
    <w:rsid w:val="00DF162D"/>
    <w:rsid w:val="00DF3DD2"/>
    <w:rsid w:val="00E50DDD"/>
    <w:rsid w:val="00E56ECB"/>
    <w:rsid w:val="00E7451D"/>
    <w:rsid w:val="00E87B08"/>
    <w:rsid w:val="00EB3089"/>
    <w:rsid w:val="00EE397A"/>
    <w:rsid w:val="00EF6F66"/>
    <w:rsid w:val="00EF7E97"/>
    <w:rsid w:val="00F025BA"/>
    <w:rsid w:val="00F12D36"/>
    <w:rsid w:val="00F60254"/>
    <w:rsid w:val="00F714FF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F8284C8F-06BD-4A10-ADA0-1D667242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20DD34-95C3-8A43-92D5-76D5A1CE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Papoušková Jana</cp:lastModifiedBy>
  <cp:revision>2</cp:revision>
  <dcterms:created xsi:type="dcterms:W3CDTF">2026-02-23T16:08:00Z</dcterms:created>
  <dcterms:modified xsi:type="dcterms:W3CDTF">2026-02-23T16:08:00Z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