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5DC" w14:textId="7AF1949D" w:rsidR="009726C4" w:rsidRPr="009726C4" w:rsidRDefault="009726C4" w:rsidP="009726C4">
      <w:pPr>
        <w:rPr>
          <w:rFonts w:ascii="Times New Roman" w:hAnsi="Times New Roman" w:cs="Times New Roman"/>
          <w:sz w:val="56"/>
          <w:szCs w:val="56"/>
        </w:rPr>
      </w:pPr>
      <w:r w:rsidRPr="009726C4">
        <w:rPr>
          <w:rFonts w:ascii="Times New Roman" w:hAnsi="Times New Roman" w:cs="Times New Roman"/>
          <w:sz w:val="56"/>
          <w:szCs w:val="56"/>
        </w:rPr>
        <w:t>Hotově</w:t>
      </w:r>
      <w:r w:rsidR="00E56ECB">
        <w:rPr>
          <w:rFonts w:ascii="Times New Roman" w:hAnsi="Times New Roman" w:cs="Times New Roman"/>
          <w:sz w:val="56"/>
          <w:szCs w:val="56"/>
        </w:rPr>
        <w:t>,</w:t>
      </w:r>
      <w:r w:rsidRPr="009726C4">
        <w:rPr>
          <w:rFonts w:ascii="Times New Roman" w:hAnsi="Times New Roman" w:cs="Times New Roman"/>
          <w:sz w:val="56"/>
          <w:szCs w:val="56"/>
        </w:rPr>
        <w:t xml:space="preserve"> nebo na hypotéku? Jak z bytu za 10 milionů udělat stroj na peníze? </w:t>
      </w:r>
    </w:p>
    <w:p w14:paraId="08E0957F" w14:textId="77777777" w:rsidR="009726C4" w:rsidRPr="009726C4" w:rsidRDefault="009726C4" w:rsidP="009726C4">
      <w:pPr>
        <w:rPr>
          <w:b/>
          <w:bCs/>
        </w:rPr>
      </w:pPr>
      <w:r w:rsidRPr="009726C4">
        <w:rPr>
          <w:b/>
          <w:bCs/>
        </w:rPr>
        <w:t>Investice do rezidenčních nemovitostí je v Česku už dlouho jedním z nejoblíbenějších způsobů, jak ochránit a zhodnotit kapitál. Čísla ale jasně ukazují, že není jedno, jestli jdete cestou „hotově“, nebo využijete hypotéku. Podívejme se na modelový příklad bytu za 10 milionů korun.</w:t>
      </w:r>
    </w:p>
    <w:p w14:paraId="2AD3E42F" w14:textId="77777777" w:rsidR="009726C4" w:rsidRPr="009726C4" w:rsidRDefault="009726C4" w:rsidP="009726C4">
      <w:pPr>
        <w:rPr>
          <w:b/>
          <w:bCs/>
        </w:rPr>
      </w:pPr>
      <w:r w:rsidRPr="009726C4">
        <w:rPr>
          <w:b/>
          <w:bCs/>
        </w:rPr>
        <w:t>Varianta A – nákup hotově</w:t>
      </w:r>
    </w:p>
    <w:p w14:paraId="1DE597A6" w14:textId="77777777" w:rsidR="009726C4" w:rsidRDefault="009726C4" w:rsidP="009726C4">
      <w:r>
        <w:t>Když investor vloží celých 10 milionů, hned od začátku inkasuje nájemné odpovídající 3,6 % ročně. To samo o sobě není špatné, ale ta pravá síla přichází s časem. Nájemné roste, průměrný výnos z nájmu se v horizontu 30 let dostává na 7,6 % ročně. Ještě silnější je kapitálová složka: při růstu ceny nemovitosti o 8 % ročně se hodnota bytu během 15 let více než ztrojnásobí. Výsledkem je čistý zisk přes 30 milionů a vnitřní výnosové procento (IRR) kolem 11–12 % ročně. Jednoduše řečeno je to bezpečnější a stabilnější cesta.</w:t>
      </w:r>
    </w:p>
    <w:p w14:paraId="0BF7741B" w14:textId="77777777" w:rsidR="009726C4" w:rsidRPr="009726C4" w:rsidRDefault="009726C4" w:rsidP="009726C4">
      <w:pPr>
        <w:rPr>
          <w:b/>
          <w:bCs/>
        </w:rPr>
      </w:pPr>
      <w:r w:rsidRPr="009726C4">
        <w:rPr>
          <w:b/>
          <w:bCs/>
        </w:rPr>
        <w:t>Varianta B – nákup na hypotéku</w:t>
      </w:r>
    </w:p>
    <w:p w14:paraId="2F2DD726" w14:textId="6216E4CA" w:rsidR="009726C4" w:rsidRDefault="009726C4" w:rsidP="009726C4">
      <w:r>
        <w:t>Tady je příběh jiný. Investor vloží jen 2 miliony, zbytek financuje bankou. V prvních letech má cashflow z nájmu záporné – hypotéka „sežere“ víc, než nájem přinese. Zlom nastává zhruba po 6.</w:t>
      </w:r>
      <w:r w:rsidR="00E56ECB">
        <w:t xml:space="preserve"> až </w:t>
      </w:r>
      <w:r>
        <w:t>7. roce, kdy nájmy začnou splátku převyšovat, a od té doby roste přebytek rychle vzhůru. Po 15 letech se byt prodává za více než 31 milionů, po odečtení zůstatku hypotéky zůstává investorovi čistý zisk kolem 24</w:t>
      </w:r>
      <w:r w:rsidR="00E56ECB">
        <w:t> </w:t>
      </w:r>
      <w:r>
        <w:t>milionů. A to vše při původním vkladu jen 2 miliony! Proto je IRR v této variantě dramaticky vyšší, a to 17–18 % ročně.</w:t>
      </w:r>
    </w:p>
    <w:p w14:paraId="0CA38E25" w14:textId="77777777" w:rsidR="009726C4" w:rsidRPr="009726C4" w:rsidRDefault="009726C4" w:rsidP="009726C4">
      <w:pPr>
        <w:rPr>
          <w:b/>
          <w:bCs/>
        </w:rPr>
      </w:pPr>
      <w:r w:rsidRPr="009726C4">
        <w:rPr>
          <w:b/>
          <w:bCs/>
        </w:rPr>
        <w:t>Klíčové srovnání</w:t>
      </w:r>
    </w:p>
    <w:p w14:paraId="7990E3E6" w14:textId="34FE888E" w:rsidR="009726C4" w:rsidRDefault="009726C4" w:rsidP="009726C4">
      <w:r>
        <w:t>Hotovostní nákup znamená větší klid, stabilitu a solidní dlouhodobý výnos. Hypotéka představuje větší riziko prvních pár let, ale díky finanční páce také násobně vyšší zhodnocení vloženého kapitálu. Volba záleží na tom, zda investor preferuje bezpečnější variantu</w:t>
      </w:r>
      <w:r w:rsidR="00E56ECB">
        <w:t>,</w:t>
      </w:r>
      <w:r>
        <w:t xml:space="preserve"> nebo agresivnější růst.</w:t>
      </w:r>
    </w:p>
    <w:p w14:paraId="4683F32D" w14:textId="68D44A4A" w:rsidR="009726C4" w:rsidRDefault="009726C4" w:rsidP="009726C4">
      <w:r>
        <w:t>Zajímavé ale je, že pokud bychom těch 10 milionů ve spojení s hypotékou rozdělili na pět částí po 2</w:t>
      </w:r>
      <w:r w:rsidR="00E56ECB">
        <w:t> </w:t>
      </w:r>
      <w:r>
        <w:t>milionech, lze pořídit hned pět bytů. V takovém případě už nesrovnáváme výnos 30 milionů v</w:t>
      </w:r>
      <w:r w:rsidR="00E56ECB">
        <w:t> </w:t>
      </w:r>
      <w:r>
        <w:t>hotovostní variantě s jedním bytem, ale pětkrát 24 milionů v hypoteční variantě. A to je věc, kterou si většina lidí vůbec neuvědomí.</w:t>
      </w:r>
    </w:p>
    <w:p w14:paraId="4F14F2AB" w14:textId="77777777" w:rsidR="009726C4" w:rsidRDefault="009726C4" w:rsidP="009726C4">
      <w:r>
        <w:t>Stejně tak stojí za zmínku, že pokud investor využije 2 miliony na jeden byt a zbývajících 8 milionů nenechá ležet na účtu, ale investuje je například do akcií s průměrným výnosem 8 % ročně, za 30 let tato částka naroste na přibližně 80,5 milionu korun.</w:t>
      </w:r>
    </w:p>
    <w:p w14:paraId="71AE647B" w14:textId="3332D86B" w:rsidR="009726C4" w:rsidRDefault="009726C4" w:rsidP="009726C4">
      <w:r>
        <w:t>Ať už tak či onak, oba scénáře potvrzují totéž: rezidenční nemovitosti mají v českém prostředí obrovský investiční potenciál. Důležité je mít jasno v cíli a zvolit cestu, která odpovídá vaší strategii i</w:t>
      </w:r>
      <w:r w:rsidR="00E56ECB">
        <w:t> </w:t>
      </w:r>
      <w:r>
        <w:t>toleranci k riziku.</w:t>
      </w:r>
    </w:p>
    <w:p w14:paraId="4A51C522" w14:textId="77777777" w:rsidR="009726C4" w:rsidRPr="009726C4" w:rsidRDefault="009726C4" w:rsidP="009726C4">
      <w:pPr>
        <w:jc w:val="right"/>
        <w:rPr>
          <w:b/>
          <w:bCs/>
        </w:rPr>
      </w:pPr>
      <w:r w:rsidRPr="009726C4">
        <w:rPr>
          <w:b/>
          <w:bCs/>
        </w:rPr>
        <w:t>David Bureš, zakladatel &amp; CEO FLET</w:t>
      </w:r>
    </w:p>
    <w:p w14:paraId="778EA070" w14:textId="77777777" w:rsidR="009726C4" w:rsidRDefault="009726C4" w:rsidP="009726C4"/>
    <w:p w14:paraId="67EE012A" w14:textId="77777777" w:rsidR="009726C4" w:rsidRDefault="009726C4" w:rsidP="009726C4"/>
    <w:p w14:paraId="4F8870B2" w14:textId="77777777" w:rsidR="009726C4" w:rsidRPr="009726C4" w:rsidRDefault="009726C4" w:rsidP="004173FC">
      <w:pPr>
        <w:spacing w:before="240" w:after="0"/>
        <w:rPr>
          <w:b/>
          <w:bCs/>
        </w:rPr>
      </w:pPr>
      <w:r w:rsidRPr="009726C4">
        <w:rPr>
          <w:b/>
          <w:bCs/>
        </w:rPr>
        <w:lastRenderedPageBreak/>
        <w:t>O společnosti FLET</w:t>
      </w:r>
    </w:p>
    <w:p w14:paraId="6345F66A" w14:textId="371EC21E" w:rsidR="007571FB" w:rsidRDefault="009726C4" w:rsidP="004173FC">
      <w:pPr>
        <w:spacing w:before="240" w:after="0"/>
      </w:pPr>
      <w:r>
        <w:t xml:space="preserve">Firmu </w:t>
      </w:r>
      <w:proofErr w:type="spellStart"/>
      <w:r>
        <w:t>Flet</w:t>
      </w:r>
      <w:proofErr w:type="spellEnd"/>
      <w:r>
        <w:t xml:space="preserve"> (dříve Bureš &amp; partneři) tvoří tým profesionálů specializujících se na vyhledávání, financování, rekonstrukce, pronájem a správu investičních nemovitostí v Praze. Klientům pomáhají získat z nemovitosti maximální výnos a s 25 lety praxe a více než 700 byty ve správě 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6" w:history="1">
        <w:r w:rsidR="007571FB" w:rsidRPr="003E4BEE">
          <w:rPr>
            <w:rStyle w:val="Hypertextovodkaz"/>
          </w:rPr>
          <w:t>www.flet.cz</w:t>
        </w:r>
      </w:hyperlink>
      <w:r>
        <w:t>.</w:t>
      </w:r>
    </w:p>
    <w:p w14:paraId="6FECA2F3" w14:textId="77777777" w:rsidR="007571FB" w:rsidRDefault="007571FB" w:rsidP="009726C4"/>
    <w:p w14:paraId="0928B966" w14:textId="77777777" w:rsidR="007571FB" w:rsidRPr="007571FB" w:rsidRDefault="007571FB" w:rsidP="007571FB">
      <w:pPr>
        <w:spacing w:before="240"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7A5D35B9" w14:textId="19B7DC90" w:rsidR="007571FB" w:rsidRPr="007571FB" w:rsidRDefault="007571FB" w:rsidP="007571FB">
      <w:pPr>
        <w:spacing w:before="240" w:after="0"/>
      </w:pPr>
      <w:r w:rsidRPr="007571FB">
        <w:t xml:space="preserve">Jana </w:t>
      </w:r>
      <w:r w:rsidR="00AA6C19">
        <w:t>Papoušková</w:t>
      </w:r>
      <w:r w:rsidRPr="007571FB">
        <w:t xml:space="preserve"> </w:t>
      </w:r>
    </w:p>
    <w:p w14:paraId="64E2F8D5" w14:textId="77777777" w:rsidR="007571FB" w:rsidRPr="007571FB" w:rsidRDefault="007571FB" w:rsidP="007571FB">
      <w:pPr>
        <w:spacing w:after="0"/>
      </w:pPr>
      <w:proofErr w:type="spellStart"/>
      <w:r w:rsidRPr="007571FB">
        <w:t>Account</w:t>
      </w:r>
      <w:proofErr w:type="spellEnd"/>
      <w:r w:rsidRPr="007571FB">
        <w:t xml:space="preserve"> Manager</w:t>
      </w:r>
    </w:p>
    <w:p w14:paraId="727102AE" w14:textId="77777777" w:rsidR="007571FB" w:rsidRPr="007571FB" w:rsidRDefault="007571FB" w:rsidP="007571FB">
      <w:pPr>
        <w:spacing w:after="0"/>
      </w:pPr>
      <w:r w:rsidRPr="007571FB">
        <w:t>Stance Communications, s.r.o.</w:t>
      </w:r>
    </w:p>
    <w:p w14:paraId="7480BE5A" w14:textId="77777777" w:rsidR="007571FB" w:rsidRPr="007571FB" w:rsidRDefault="007571FB" w:rsidP="007571FB">
      <w:pPr>
        <w:spacing w:after="0"/>
      </w:pPr>
      <w:r w:rsidRPr="007571FB">
        <w:t>Jungmannova 750/34, 110 00 Praha 1</w:t>
      </w:r>
    </w:p>
    <w:p w14:paraId="0A136754" w14:textId="77777777" w:rsidR="007571FB" w:rsidRPr="007571FB" w:rsidRDefault="007571FB" w:rsidP="007571FB">
      <w:pPr>
        <w:spacing w:after="0"/>
      </w:pPr>
      <w:r w:rsidRPr="007571FB">
        <w:t>Tel.: +420 602 434 733</w:t>
      </w:r>
    </w:p>
    <w:p w14:paraId="256FB2E5" w14:textId="3BE8A898" w:rsidR="007571FB" w:rsidRPr="007571FB" w:rsidRDefault="007571FB" w:rsidP="007571FB">
      <w:pPr>
        <w:spacing w:after="0"/>
      </w:pPr>
      <w:r w:rsidRPr="007571FB">
        <w:t>E-mail: jana.</w:t>
      </w:r>
      <w:r w:rsidR="00AA6C19">
        <w:t>papouskova</w:t>
      </w:r>
      <w:r w:rsidRPr="007571FB">
        <w:t xml:space="preserve">@stance.cz  </w:t>
      </w:r>
    </w:p>
    <w:p w14:paraId="153FDE23" w14:textId="77777777" w:rsidR="007571FB" w:rsidRDefault="007571FB" w:rsidP="009726C4"/>
    <w:p w14:paraId="7608DFE7" w14:textId="77777777" w:rsidR="00205495" w:rsidRDefault="00205495"/>
    <w:sectPr w:rsidR="00205495" w:rsidSect="009726C4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F468" w14:textId="77777777" w:rsidR="00374F04" w:rsidRDefault="00374F04" w:rsidP="009726C4">
      <w:pPr>
        <w:spacing w:after="0" w:line="240" w:lineRule="auto"/>
      </w:pPr>
      <w:r>
        <w:separator/>
      </w:r>
    </w:p>
  </w:endnote>
  <w:endnote w:type="continuationSeparator" w:id="0">
    <w:p w14:paraId="6A7A9390" w14:textId="77777777" w:rsidR="00374F04" w:rsidRDefault="00374F04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1F44" w14:textId="77777777" w:rsidR="00374F04" w:rsidRDefault="00374F04" w:rsidP="009726C4">
      <w:pPr>
        <w:spacing w:after="0" w:line="240" w:lineRule="auto"/>
      </w:pPr>
      <w:r>
        <w:separator/>
      </w:r>
    </w:p>
  </w:footnote>
  <w:footnote w:type="continuationSeparator" w:id="0">
    <w:p w14:paraId="23A409D9" w14:textId="77777777" w:rsidR="00374F04" w:rsidRDefault="00374F04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35985F1D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776188">
      <w:rPr>
        <w:rFonts w:ascii="Times New Roman" w:hAnsi="Times New Roman"/>
      </w:rPr>
      <w:t>KOMENTÁŘ DAVIDA BU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188">
      <w:rPr>
        <w:rFonts w:ascii="Times New Roman" w:hAnsi="Times New Roman"/>
      </w:rPr>
      <w:t>REŠE</w:t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E154E"/>
    <w:rsid w:val="00205495"/>
    <w:rsid w:val="003560D6"/>
    <w:rsid w:val="00374F04"/>
    <w:rsid w:val="003C7FD1"/>
    <w:rsid w:val="003D2933"/>
    <w:rsid w:val="004173FC"/>
    <w:rsid w:val="007571FB"/>
    <w:rsid w:val="00942881"/>
    <w:rsid w:val="009726C4"/>
    <w:rsid w:val="00A16B6D"/>
    <w:rsid w:val="00A17D62"/>
    <w:rsid w:val="00A90C36"/>
    <w:rsid w:val="00AA6C19"/>
    <w:rsid w:val="00C26918"/>
    <w:rsid w:val="00D83AD6"/>
    <w:rsid w:val="00E56ECB"/>
    <w:rsid w:val="00E7451D"/>
    <w:rsid w:val="00F60254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Staňková Kateřina</cp:lastModifiedBy>
  <cp:revision>2</cp:revision>
  <dcterms:created xsi:type="dcterms:W3CDTF">2025-10-15T11:27:00Z</dcterms:created>
  <dcterms:modified xsi:type="dcterms:W3CDTF">2025-10-15T11:27:00Z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