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62C6E7A9" w:rsidR="00CF5C70" w:rsidRPr="008B52BF" w:rsidRDefault="005E53F9" w:rsidP="008C4C01">
      <w:pPr>
        <w:rPr>
          <w:rFonts w:ascii="BNPP Sans Light" w:hAnsi="BNPP Sans Light"/>
          <w:lang w:val="cs-CZ"/>
        </w:rPr>
      </w:pPr>
      <w:r>
        <w:rPr>
          <w:rFonts w:ascii="BNPP Sans Light" w:hAnsi="BNPP Sans Light"/>
          <w:lang w:val="cs-CZ"/>
        </w:rPr>
        <w:t>P</w:t>
      </w:r>
      <w:r w:rsidR="008B618A" w:rsidRPr="00067A48">
        <w:rPr>
          <w:rFonts w:ascii="BNPP Sans Light" w:hAnsi="BNPP Sans Light"/>
          <w:lang w:val="cs-CZ"/>
        </w:rPr>
        <w:t>raha</w:t>
      </w:r>
      <w:r w:rsidR="00BD3082" w:rsidRPr="00067A48">
        <w:rPr>
          <w:rFonts w:ascii="BNPP Sans Light" w:hAnsi="BNPP Sans Light"/>
          <w:lang w:val="cs-CZ"/>
        </w:rPr>
        <w:t xml:space="preserve">, </w:t>
      </w:r>
      <w:r w:rsidR="006C3645">
        <w:rPr>
          <w:rFonts w:ascii="BNPP Sans Light" w:hAnsi="BNPP Sans Light"/>
          <w:lang w:val="cs-CZ"/>
        </w:rPr>
        <w:t>1</w:t>
      </w:r>
      <w:r>
        <w:rPr>
          <w:rFonts w:ascii="BNPP Sans Light" w:hAnsi="BNPP Sans Light"/>
          <w:lang w:val="cs-CZ"/>
        </w:rPr>
        <w:t>2</w:t>
      </w:r>
      <w:r w:rsidR="00750AEF">
        <w:rPr>
          <w:rFonts w:ascii="BNPP Sans Light" w:hAnsi="BNPP Sans Light"/>
          <w:lang w:val="cs-CZ"/>
        </w:rPr>
        <w:t>.</w:t>
      </w:r>
      <w:r w:rsidR="00067A48" w:rsidRPr="00067A48">
        <w:rPr>
          <w:rFonts w:ascii="BNPP Sans Light" w:hAnsi="BNPP Sans Light"/>
          <w:lang w:val="cs-CZ"/>
        </w:rPr>
        <w:t xml:space="preserve"> </w:t>
      </w:r>
      <w:r w:rsidR="009D7C0B">
        <w:rPr>
          <w:rFonts w:ascii="BNPP Sans Light" w:hAnsi="BNPP Sans Light"/>
          <w:lang w:val="cs-CZ"/>
        </w:rPr>
        <w:t>května</w:t>
      </w:r>
      <w:r w:rsidR="007B62EB">
        <w:rPr>
          <w:rFonts w:ascii="BNPP Sans Light" w:hAnsi="BNPP Sans Light"/>
          <w:lang w:val="cs-CZ"/>
        </w:rPr>
        <w:t xml:space="preserve"> </w:t>
      </w:r>
      <w:r w:rsidR="00067A48" w:rsidRPr="00067A48">
        <w:rPr>
          <w:rFonts w:ascii="BNPP Sans Light" w:hAnsi="BNPP Sans Light"/>
          <w:lang w:val="cs-CZ"/>
        </w:rPr>
        <w:t>202</w:t>
      </w:r>
      <w:r w:rsidR="007A63A5">
        <w:rPr>
          <w:rFonts w:ascii="BNPP Sans Light" w:hAnsi="BNPP Sans Light"/>
          <w:lang w:val="cs-CZ"/>
        </w:rPr>
        <w:t>6</w:t>
      </w:r>
    </w:p>
    <w:p w14:paraId="4030D51F" w14:textId="62CBE217" w:rsidR="00750AEF" w:rsidRDefault="00CF5C70" w:rsidP="00750AEF">
      <w:pPr>
        <w:rPr>
          <w:rFonts w:ascii="BNPP Sans Light" w:hAnsi="BNPP Sans Light"/>
          <w:b/>
          <w:bCs/>
          <w:sz w:val="32"/>
          <w:szCs w:val="32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90BF3D" w14:textId="77777777" w:rsidR="0099135D" w:rsidRPr="005E53F9" w:rsidRDefault="0099135D" w:rsidP="0099135D">
      <w:pPr>
        <w:spacing w:line="240" w:lineRule="auto"/>
        <w:rPr>
          <w:rFonts w:ascii="BNPP Sans Light" w:hAnsi="BNPP Sans Light"/>
          <w:b/>
          <w:bCs/>
          <w:sz w:val="12"/>
          <w:szCs w:val="8"/>
          <w:lang w:val="cs-CZ"/>
        </w:rPr>
      </w:pPr>
    </w:p>
    <w:p w14:paraId="7534A664" w14:textId="105DE2F5" w:rsidR="00152551" w:rsidRDefault="009D7C0B" w:rsidP="0015255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 w:val="32"/>
          <w:szCs w:val="32"/>
          <w:lang w:val="cs-CZ"/>
        </w:rPr>
      </w:pPr>
      <w:r w:rsidRPr="009D7C0B">
        <w:rPr>
          <w:rFonts w:ascii="BNPP Sans Light" w:hAnsi="BNPP Sans Light"/>
          <w:b/>
          <w:bCs/>
          <w:sz w:val="32"/>
          <w:szCs w:val="32"/>
          <w:lang w:val="cs-CZ"/>
        </w:rPr>
        <w:t xml:space="preserve">Češi vnímají </w:t>
      </w:r>
      <w:r>
        <w:rPr>
          <w:rFonts w:ascii="BNPP Sans Light" w:hAnsi="BNPP Sans Light"/>
          <w:b/>
          <w:bCs/>
          <w:sz w:val="32"/>
          <w:szCs w:val="32"/>
          <w:lang w:val="cs-CZ"/>
        </w:rPr>
        <w:t>domov jako největší jistotu. Chrání ho ale správně?</w:t>
      </w:r>
    </w:p>
    <w:p w14:paraId="3EF00EDB" w14:textId="77777777" w:rsidR="009D7C0B" w:rsidRPr="00152551" w:rsidRDefault="009D7C0B" w:rsidP="0015255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 w:val="12"/>
          <w:szCs w:val="12"/>
          <w:lang w:val="cs-CZ"/>
        </w:rPr>
      </w:pPr>
    </w:p>
    <w:p w14:paraId="0A6B66C5" w14:textId="714CA43A" w:rsidR="00C22C47" w:rsidRDefault="009D7C0B" w:rsidP="0015255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9D7C0B">
        <w:rPr>
          <w:rFonts w:ascii="BNPP Sans Light" w:hAnsi="BNPP Sans Light"/>
          <w:b/>
          <w:bCs/>
          <w:szCs w:val="24"/>
          <w:lang w:val="cs-CZ"/>
        </w:rPr>
        <w:t xml:space="preserve">Domov a rodina zůstávají pro většinu Čechů nejjistější oblastí života. Aktuální data BNP Paribas </w:t>
      </w:r>
      <w:proofErr w:type="spellStart"/>
      <w:r w:rsidRPr="009D7C0B"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 w:rsidRPr="009D7C0B">
        <w:rPr>
          <w:rFonts w:ascii="BNPP Sans Light" w:hAnsi="BNPP Sans Light"/>
          <w:b/>
          <w:bCs/>
          <w:szCs w:val="24"/>
          <w:lang w:val="cs-CZ"/>
        </w:rPr>
        <w:t xml:space="preserve"> indexu jistoty zároveň ukazují, že ani zde obavy z</w:t>
      </w:r>
      <w:r>
        <w:rPr>
          <w:rFonts w:ascii="BNPP Sans Light" w:hAnsi="BNPP Sans Light"/>
          <w:b/>
          <w:bCs/>
          <w:szCs w:val="24"/>
          <w:lang w:val="cs-CZ"/>
        </w:rPr>
        <w:t> </w:t>
      </w:r>
      <w:r w:rsidRPr="009D7C0B">
        <w:rPr>
          <w:rFonts w:ascii="BNPP Sans Light" w:hAnsi="BNPP Sans Light"/>
          <w:b/>
          <w:bCs/>
          <w:szCs w:val="24"/>
          <w:lang w:val="cs-CZ"/>
        </w:rPr>
        <w:t>budoucího zhoršení zcela nemizí. Část domácností má navíc osobní zkušenost s</w:t>
      </w:r>
      <w:r>
        <w:rPr>
          <w:rFonts w:ascii="BNPP Sans Light" w:hAnsi="BNPP Sans Light"/>
          <w:b/>
          <w:bCs/>
          <w:szCs w:val="24"/>
          <w:lang w:val="cs-CZ"/>
        </w:rPr>
        <w:t> </w:t>
      </w:r>
      <w:r w:rsidRPr="009D7C0B">
        <w:rPr>
          <w:rFonts w:ascii="BNPP Sans Light" w:hAnsi="BNPP Sans Light"/>
          <w:b/>
          <w:bCs/>
          <w:szCs w:val="24"/>
          <w:lang w:val="cs-CZ"/>
        </w:rPr>
        <w:t xml:space="preserve">riziky, která mohou jejich jistotu narušit </w:t>
      </w:r>
      <w:r>
        <w:rPr>
          <w:rFonts w:ascii="BNPP Sans Light" w:hAnsi="BNPP Sans Light"/>
          <w:b/>
          <w:bCs/>
          <w:szCs w:val="24"/>
          <w:lang w:val="cs-CZ"/>
        </w:rPr>
        <w:t>–</w:t>
      </w:r>
      <w:r w:rsidRPr="009D7C0B">
        <w:rPr>
          <w:rFonts w:ascii="BNPP Sans Light" w:hAnsi="BNPP Sans Light"/>
          <w:b/>
          <w:bCs/>
          <w:szCs w:val="24"/>
          <w:lang w:val="cs-CZ"/>
        </w:rPr>
        <w:t xml:space="preserve"> od vodovodních škod až po škody způsobené přírodními vlivy.</w:t>
      </w:r>
      <w:r w:rsidR="0015149D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="0015149D" w:rsidRPr="0015149D">
        <w:rPr>
          <w:rFonts w:ascii="BNPP Sans Light" w:hAnsi="BNPP Sans Light"/>
          <w:b/>
          <w:bCs/>
          <w:szCs w:val="24"/>
        </w:rPr>
        <w:t>Jak tedy k ochraně domova přistoupit tak, aby pojištění nebylo jen formalitou, ale skutečně pomohlo ve chvíli, kdy je potřeba?</w:t>
      </w:r>
    </w:p>
    <w:p w14:paraId="41906D13" w14:textId="77777777" w:rsidR="009D7C0B" w:rsidRPr="005E53F9" w:rsidRDefault="009D7C0B" w:rsidP="0015255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 w:val="12"/>
          <w:szCs w:val="12"/>
          <w:lang w:val="cs-CZ"/>
        </w:rPr>
      </w:pPr>
    </w:p>
    <w:p w14:paraId="222C3FDF" w14:textId="77777777" w:rsidR="0015149D" w:rsidRPr="0015149D" w:rsidRDefault="0015149D" w:rsidP="0015149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5149D">
        <w:rPr>
          <w:rFonts w:ascii="BNPP Sans Light" w:hAnsi="BNPP Sans Light"/>
          <w:b/>
          <w:bCs/>
          <w:szCs w:val="24"/>
          <w:lang w:val="cs-CZ"/>
        </w:rPr>
        <w:t>I tam, kde se cítíme nejjistěji, zůstávají obavy</w:t>
      </w:r>
    </w:p>
    <w:p w14:paraId="69DFB168" w14:textId="24453324" w:rsidR="0015149D" w:rsidRPr="0015149D" w:rsidRDefault="0015149D" w:rsidP="00AE0CC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149D">
        <w:rPr>
          <w:rFonts w:ascii="BNPP Sans Light" w:hAnsi="BNPP Sans Light"/>
          <w:szCs w:val="24"/>
          <w:lang w:val="cs-CZ"/>
        </w:rPr>
        <w:t>Ve 4. vlně výzkumu dosáhl pilíř domova a rodiny hodnoty 47 bodů, což je nejvíce ze všech sledovaných oblastí. Zároveň 75 % lidí uvádí, že se díky svému zázemí cítí jistě.</w:t>
      </w:r>
      <w:r w:rsidR="00AE0CC5">
        <w:rPr>
          <w:rFonts w:ascii="BNPP Sans Light" w:hAnsi="BNPP Sans Light"/>
          <w:szCs w:val="24"/>
          <w:lang w:val="cs-CZ"/>
        </w:rPr>
        <w:t xml:space="preserve"> </w:t>
      </w:r>
      <w:r w:rsidRPr="0015149D">
        <w:rPr>
          <w:rFonts w:ascii="BNPP Sans Light" w:hAnsi="BNPP Sans Light"/>
          <w:szCs w:val="24"/>
          <w:lang w:val="cs-CZ"/>
        </w:rPr>
        <w:t>Přesto ani v této oblasti obavy úplně nemizí. Výzkum ukazuje, že 41 % dotázaných se stále obává zhoršení v oblasti domova a rodiny, i když oproti předchozí vlně tento podíl klesl. Více než polovina lidí navíc považuje za nepravděpodobné, že se v</w:t>
      </w:r>
      <w:r w:rsidR="00F95A1D">
        <w:rPr>
          <w:rFonts w:ascii="BNPP Sans Light" w:hAnsi="BNPP Sans Light"/>
          <w:szCs w:val="24"/>
          <w:lang w:val="cs-CZ"/>
        </w:rPr>
        <w:t> </w:t>
      </w:r>
      <w:r w:rsidRPr="0015149D">
        <w:rPr>
          <w:rFonts w:ascii="BNPP Sans Light" w:hAnsi="BNPP Sans Light"/>
          <w:szCs w:val="24"/>
          <w:lang w:val="cs-CZ"/>
        </w:rPr>
        <w:t>následujících třech letech bude s riziky v této oblasti osobně potýkat.</w:t>
      </w:r>
    </w:p>
    <w:p w14:paraId="4596EAC6" w14:textId="77777777" w:rsidR="0015149D" w:rsidRDefault="0015149D" w:rsidP="0015149D">
      <w:pPr>
        <w:autoSpaceDE w:val="0"/>
        <w:autoSpaceDN w:val="0"/>
        <w:adjustRightInd w:val="0"/>
        <w:spacing w:before="240"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5149D">
        <w:rPr>
          <w:rFonts w:ascii="BNPP Sans Light" w:hAnsi="BNPP Sans Light"/>
          <w:b/>
          <w:bCs/>
          <w:szCs w:val="24"/>
          <w:lang w:val="cs-CZ"/>
        </w:rPr>
        <w:t>Základem ochrany je správně nastavené pojištění majetku</w:t>
      </w:r>
    </w:p>
    <w:p w14:paraId="4C36D129" w14:textId="4309652A" w:rsidR="0015149D" w:rsidRPr="0015149D" w:rsidRDefault="0015149D" w:rsidP="0015149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5149D">
        <w:rPr>
          <w:rFonts w:ascii="BNPP Sans Light" w:hAnsi="BNPP Sans Light"/>
          <w:szCs w:val="24"/>
          <w:lang w:val="cs-CZ"/>
        </w:rPr>
        <w:t>K pocitu jistoty v oblasti domova patří i to, jak mají lidé chráněný svůj majetek. Podle průzkumu má pojištění domácnosti sjednáno 53 % Čechů a pojištění nemovitosti 43 % lidí. Data zároveň ukazují, že 12</w:t>
      </w:r>
      <w:r w:rsidR="005275E0">
        <w:rPr>
          <w:rFonts w:ascii="BNPP Sans Light" w:hAnsi="BNPP Sans Light"/>
          <w:szCs w:val="24"/>
          <w:lang w:val="cs-CZ"/>
        </w:rPr>
        <w:t> </w:t>
      </w:r>
      <w:r w:rsidRPr="0015149D">
        <w:rPr>
          <w:rFonts w:ascii="BNPP Sans Light" w:hAnsi="BNPP Sans Light"/>
          <w:szCs w:val="24"/>
          <w:lang w:val="cs-CZ"/>
        </w:rPr>
        <w:t>% lidí nemá sjednané žádné pojištění.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15149D">
        <w:rPr>
          <w:rFonts w:ascii="BNPP Sans Light" w:hAnsi="BNPP Sans Light"/>
          <w:szCs w:val="24"/>
          <w:lang w:val="cs-CZ"/>
        </w:rPr>
        <w:t>Obě majetková pojištění se častěji objevují u lidí starších 45 let, s</w:t>
      </w:r>
      <w:r w:rsidR="005275E0">
        <w:rPr>
          <w:rFonts w:ascii="BNPP Sans Light" w:hAnsi="BNPP Sans Light"/>
          <w:szCs w:val="24"/>
          <w:lang w:val="cs-CZ"/>
        </w:rPr>
        <w:t> </w:t>
      </w:r>
      <w:r w:rsidRPr="0015149D">
        <w:rPr>
          <w:rFonts w:ascii="BNPP Sans Light" w:hAnsi="BNPP Sans Light"/>
          <w:szCs w:val="24"/>
          <w:lang w:val="cs-CZ"/>
        </w:rPr>
        <w:t>vyšším vzděláním, s vyššími příjmy domácnosti a také u ženatých a vdaných.</w:t>
      </w:r>
    </w:p>
    <w:p w14:paraId="5D67A047" w14:textId="409FC434" w:rsidR="0015149D" w:rsidRDefault="0015149D" w:rsidP="0015149D">
      <w:pPr>
        <w:autoSpaceDE w:val="0"/>
        <w:autoSpaceDN w:val="0"/>
        <w:adjustRightInd w:val="0"/>
        <w:spacing w:before="240"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5149D">
        <w:rPr>
          <w:rFonts w:ascii="BNPP Sans Light" w:hAnsi="BNPP Sans Light"/>
          <w:b/>
          <w:bCs/>
          <w:szCs w:val="24"/>
          <w:lang w:val="cs-CZ"/>
        </w:rPr>
        <w:t>Při ochraně domova myslete hlavně na rizika, která se dějí nejčastěji</w:t>
      </w:r>
    </w:p>
    <w:p w14:paraId="2BBA4214" w14:textId="3306499C" w:rsidR="0015149D" w:rsidRPr="0015149D" w:rsidRDefault="0015149D" w:rsidP="0015149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149D">
        <w:rPr>
          <w:rFonts w:ascii="BNPP Sans Light" w:hAnsi="BNPP Sans Light"/>
          <w:szCs w:val="24"/>
          <w:lang w:val="cs-CZ"/>
        </w:rPr>
        <w:t>Při ochraně domova se vyplatí vycházet nejen z toho, čeho se lidé obávají, ale také z toho, s</w:t>
      </w:r>
      <w:r w:rsidR="005275E0">
        <w:rPr>
          <w:rFonts w:ascii="BNPP Sans Light" w:hAnsi="BNPP Sans Light"/>
          <w:szCs w:val="24"/>
          <w:lang w:val="cs-CZ"/>
        </w:rPr>
        <w:t>e</w:t>
      </w:r>
      <w:r w:rsidRPr="0015149D">
        <w:rPr>
          <w:rFonts w:ascii="BNPP Sans Light" w:hAnsi="BNPP Sans Light"/>
          <w:szCs w:val="24"/>
          <w:lang w:val="cs-CZ"/>
        </w:rPr>
        <w:t xml:space="preserve"> k</w:t>
      </w:r>
      <w:r w:rsidR="005275E0">
        <w:rPr>
          <w:rFonts w:ascii="BNPP Sans Light" w:hAnsi="BNPP Sans Light"/>
          <w:szCs w:val="24"/>
          <w:lang w:val="cs-CZ"/>
        </w:rPr>
        <w:t>ter</w:t>
      </w:r>
      <w:r w:rsidRPr="0015149D">
        <w:rPr>
          <w:rFonts w:ascii="BNPP Sans Light" w:hAnsi="BNPP Sans Light"/>
          <w:szCs w:val="24"/>
          <w:lang w:val="cs-CZ"/>
        </w:rPr>
        <w:t xml:space="preserve">ými situacemi mají reálnou zkušenost. Průzkum ukazuje, že mezi častější majetkové komplikace patří vodovodní škody, s </w:t>
      </w:r>
      <w:r w:rsidR="005275E0">
        <w:rPr>
          <w:rFonts w:ascii="BNPP Sans Light" w:hAnsi="BNPP Sans Light"/>
          <w:szCs w:val="24"/>
          <w:lang w:val="cs-CZ"/>
        </w:rPr>
        <w:t>ni</w:t>
      </w:r>
      <w:r w:rsidRPr="0015149D">
        <w:rPr>
          <w:rFonts w:ascii="BNPP Sans Light" w:hAnsi="BNPP Sans Light"/>
          <w:szCs w:val="24"/>
          <w:lang w:val="cs-CZ"/>
        </w:rPr>
        <w:t>mi</w:t>
      </w:r>
      <w:r w:rsidR="005275E0">
        <w:rPr>
          <w:rFonts w:ascii="BNPP Sans Light" w:hAnsi="BNPP Sans Light"/>
          <w:szCs w:val="24"/>
          <w:lang w:val="cs-CZ"/>
        </w:rPr>
        <w:t>ž</w:t>
      </w:r>
      <w:r w:rsidRPr="0015149D">
        <w:rPr>
          <w:rFonts w:ascii="BNPP Sans Light" w:hAnsi="BNPP Sans Light"/>
          <w:szCs w:val="24"/>
          <w:lang w:val="cs-CZ"/>
        </w:rPr>
        <w:t xml:space="preserve"> má osobní zkušenost 19 % lidí.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15149D">
        <w:rPr>
          <w:rFonts w:ascii="BNPP Sans Light" w:hAnsi="BNPP Sans Light"/>
          <w:szCs w:val="24"/>
          <w:lang w:val="cs-CZ"/>
        </w:rPr>
        <w:t xml:space="preserve">Poškození majetku přírodní katastrofou zažilo 15 % dotázaných. Naproti tomu vloupání do domácnosti uvedlo 6 % respondentů a požár nebo výbuch v </w:t>
      </w:r>
      <w:r w:rsidRPr="005275E0">
        <w:rPr>
          <w:rFonts w:ascii="BNPP Sans Light" w:hAnsi="BNPP Sans Light"/>
          <w:szCs w:val="24"/>
          <w:lang w:val="cs-CZ"/>
        </w:rPr>
        <w:t>domácnosti</w:t>
      </w:r>
      <w:r w:rsidRPr="0015149D">
        <w:rPr>
          <w:rFonts w:ascii="BNPP Sans Light" w:hAnsi="BNPP Sans Light"/>
          <w:szCs w:val="24"/>
          <w:lang w:val="cs-CZ"/>
        </w:rPr>
        <w:t xml:space="preserve"> 5 %. Výsledky tak ukazují, že </w:t>
      </w:r>
      <w:proofErr w:type="gramStart"/>
      <w:r w:rsidR="00AE0CC5" w:rsidRPr="0015149D">
        <w:rPr>
          <w:rFonts w:ascii="BNPP Sans Light" w:hAnsi="BNPP Sans Light"/>
          <w:szCs w:val="24"/>
          <w:lang w:val="cs-CZ"/>
        </w:rPr>
        <w:t>běžnější</w:t>
      </w:r>
      <w:proofErr w:type="gramEnd"/>
      <w:r w:rsidRPr="0015149D">
        <w:rPr>
          <w:rFonts w:ascii="BNPP Sans Light" w:hAnsi="BNPP Sans Light"/>
          <w:szCs w:val="24"/>
          <w:lang w:val="cs-CZ"/>
        </w:rPr>
        <w:t xml:space="preserve"> než požár jsou v českých domácnostech vodovodní škody a škody spojené s přírodními vlivy.</w:t>
      </w:r>
    </w:p>
    <w:p w14:paraId="14748BE5" w14:textId="77777777" w:rsidR="0015149D" w:rsidRPr="0015149D" w:rsidRDefault="0015149D" w:rsidP="0015149D">
      <w:pPr>
        <w:autoSpaceDE w:val="0"/>
        <w:autoSpaceDN w:val="0"/>
        <w:adjustRightInd w:val="0"/>
        <w:spacing w:before="240"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15149D">
        <w:rPr>
          <w:rFonts w:ascii="BNPP Sans Light" w:hAnsi="BNPP Sans Light"/>
          <w:b/>
          <w:bCs/>
          <w:szCs w:val="24"/>
          <w:lang w:val="cs-CZ"/>
        </w:rPr>
        <w:t>Jak k ochraně domova přistoupit v praxi</w:t>
      </w:r>
    </w:p>
    <w:p w14:paraId="5E9374E7" w14:textId="477ADEDC" w:rsidR="0015149D" w:rsidRPr="0015149D" w:rsidRDefault="0015149D" w:rsidP="0015149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15149D">
        <w:rPr>
          <w:rFonts w:ascii="BNPP Sans Light" w:hAnsi="BNPP Sans Light"/>
          <w:szCs w:val="24"/>
          <w:lang w:val="cs-CZ"/>
        </w:rPr>
        <w:t>Při výběru pojištění majetku dává smysl dívat se nejen na cenu, ale hlavně na to, co pojistka skutečně kryje a jakou pomoc nabídne ve chvíli, kdy se něco stane. Kvalitní pojištění může být dražší, ovšem v případě nenadálé události v domácnosti bývá ve srovnání s nákladnými škodami jeho cena zanedbatelná.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15149D">
        <w:rPr>
          <w:rFonts w:ascii="BNPP Sans Light" w:hAnsi="BNPP Sans Light"/>
          <w:szCs w:val="24"/>
          <w:lang w:val="cs-CZ"/>
        </w:rPr>
        <w:t>Vyplatí se proto sledovat nejen samotný rozsah krytí, ale také to, zda pojištění myslí i na běžné situace, které dokážou chod domácnosti rychle zkomplikovat. Právě v takových chvílích se ukazuje rozdíl mezi formálně sjednanou pojistkou a řešením, které člověku skutečně pomůže.</w:t>
      </w:r>
    </w:p>
    <w:p w14:paraId="152BFFC0" w14:textId="40645A7F" w:rsidR="0015149D" w:rsidRPr="0015149D" w:rsidRDefault="0015149D" w:rsidP="0015149D">
      <w:pPr>
        <w:autoSpaceDE w:val="0"/>
        <w:autoSpaceDN w:val="0"/>
        <w:adjustRightInd w:val="0"/>
        <w:spacing w:before="240" w:line="276" w:lineRule="auto"/>
        <w:rPr>
          <w:rFonts w:ascii="BNPP Sans Light" w:hAnsi="BNPP Sans Light"/>
          <w:szCs w:val="24"/>
          <w:lang w:val="cs-CZ"/>
        </w:rPr>
      </w:pPr>
      <w:r w:rsidRPr="0015149D">
        <w:rPr>
          <w:rFonts w:ascii="BNPP Sans Light" w:hAnsi="BNPP Sans Light"/>
          <w:szCs w:val="24"/>
          <w:lang w:val="cs-CZ"/>
        </w:rPr>
        <w:t xml:space="preserve">Součástí takového řešení může být například pojištění domácnosti a odpovědnosti od BNP Paribas </w:t>
      </w:r>
      <w:proofErr w:type="spellStart"/>
      <w:r w:rsidRPr="0015149D">
        <w:rPr>
          <w:rFonts w:ascii="BNPP Sans Light" w:hAnsi="BNPP Sans Light"/>
          <w:szCs w:val="24"/>
          <w:lang w:val="cs-CZ"/>
        </w:rPr>
        <w:t>Cardif</w:t>
      </w:r>
      <w:proofErr w:type="spellEnd"/>
      <w:r w:rsidRPr="0015149D">
        <w:rPr>
          <w:rFonts w:ascii="BNPP Sans Light" w:hAnsi="BNPP Sans Light"/>
          <w:szCs w:val="24"/>
          <w:lang w:val="cs-CZ"/>
        </w:rPr>
        <w:t xml:space="preserve"> </w:t>
      </w:r>
      <w:r w:rsidR="00AE0CC5">
        <w:rPr>
          <w:rFonts w:ascii="BNPP Sans Light" w:hAnsi="BNPP Sans Light"/>
          <w:szCs w:val="24"/>
          <w:lang w:val="cs-CZ"/>
        </w:rPr>
        <w:t>P</w:t>
      </w:r>
      <w:r w:rsidRPr="0015149D">
        <w:rPr>
          <w:rFonts w:ascii="BNPP Sans Light" w:hAnsi="BNPP Sans Light"/>
          <w:szCs w:val="24"/>
          <w:lang w:val="cs-CZ"/>
        </w:rPr>
        <w:t xml:space="preserve">ojišťovny, které zahrnuje pojištění domácnosti, pojištění odpovědnosti z běžného života a asistenční služby. BNP Paribas </w:t>
      </w:r>
      <w:proofErr w:type="spellStart"/>
      <w:r w:rsidRPr="0015149D">
        <w:rPr>
          <w:rFonts w:ascii="BNPP Sans Light" w:hAnsi="BNPP Sans Light"/>
          <w:szCs w:val="24"/>
          <w:lang w:val="cs-CZ"/>
        </w:rPr>
        <w:t>Cardif</w:t>
      </w:r>
      <w:proofErr w:type="spellEnd"/>
      <w:r w:rsidRPr="0015149D">
        <w:rPr>
          <w:rFonts w:ascii="BNPP Sans Light" w:hAnsi="BNPP Sans Light"/>
          <w:szCs w:val="24"/>
          <w:lang w:val="cs-CZ"/>
        </w:rPr>
        <w:t xml:space="preserve"> Pojišťovna u tohoto produktu uvádí jako hlavní výhody mimo jiné asistenci 24/7, neuplatňování podpojištění a pojištění odpovědnosti platné na celém území EU.</w:t>
      </w:r>
    </w:p>
    <w:p w14:paraId="0E97D5AC" w14:textId="3D0C2519" w:rsidR="00383922" w:rsidRDefault="00DF2DEC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  <w:r w:rsidRPr="00C73C5F">
        <w:rPr>
          <w:rFonts w:ascii="BNPP Sans Light" w:hAnsi="BNPP Sans Light"/>
          <w:i/>
          <w:iCs/>
          <w:szCs w:val="24"/>
          <w:lang w:val="cs-CZ"/>
        </w:rPr>
        <w:t>Odpovídá:</w:t>
      </w:r>
      <w:r w:rsidR="00E163FF" w:rsidRPr="00C73C5F">
        <w:rPr>
          <w:rFonts w:ascii="BNPP Sans Light" w:hAnsi="BNPP Sans Light"/>
          <w:b/>
          <w:bCs/>
          <w:i/>
          <w:iCs/>
          <w:szCs w:val="24"/>
          <w:lang w:val="cs-CZ"/>
        </w:rPr>
        <w:t xml:space="preserve"> </w:t>
      </w:r>
      <w:r w:rsidR="0066233B">
        <w:rPr>
          <w:rFonts w:ascii="BNPP Sans Light" w:hAnsi="BNPP Sans Light"/>
          <w:i/>
          <w:iCs/>
          <w:szCs w:val="24"/>
          <w:lang w:val="cs-CZ"/>
        </w:rPr>
        <w:t>Michal Tuček</w:t>
      </w:r>
      <w:r w:rsidR="00067A48" w:rsidRPr="00C73C5F">
        <w:rPr>
          <w:rFonts w:ascii="BNPP Sans Light" w:hAnsi="BNPP Sans Light"/>
          <w:i/>
          <w:iCs/>
          <w:szCs w:val="24"/>
          <w:lang w:val="cs-CZ"/>
        </w:rPr>
        <w:t xml:space="preserve">, </w:t>
      </w:r>
      <w:r w:rsidR="009B1EB8" w:rsidRPr="00C73C5F">
        <w:rPr>
          <w:rFonts w:ascii="BNPP Sans Light" w:hAnsi="BNPP Sans Light"/>
          <w:i/>
          <w:iCs/>
          <w:szCs w:val="24"/>
          <w:lang w:val="cs-CZ"/>
        </w:rPr>
        <w:t xml:space="preserve">ředitel </w:t>
      </w:r>
      <w:r w:rsidR="005F48B0" w:rsidRPr="00C73C5F">
        <w:rPr>
          <w:rFonts w:ascii="BNPP Sans Light" w:hAnsi="BNPP Sans Light"/>
          <w:i/>
          <w:iCs/>
          <w:szCs w:val="24"/>
          <w:lang w:val="cs-CZ"/>
        </w:rPr>
        <w:t>produktu a marketingu</w:t>
      </w:r>
    </w:p>
    <w:p w14:paraId="217B9997" w14:textId="77777777" w:rsidR="00383922" w:rsidRPr="00383922" w:rsidRDefault="00383922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</w:p>
    <w:p w14:paraId="48EDD66A" w14:textId="77777777" w:rsidR="00383922" w:rsidRPr="00383922" w:rsidRDefault="00383922" w:rsidP="00383922">
      <w:pPr>
        <w:autoSpaceDE w:val="0"/>
        <w:autoSpaceDN w:val="0"/>
        <w:adjustRightInd w:val="0"/>
        <w:spacing w:line="276" w:lineRule="auto"/>
        <w:jc w:val="left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t>O BNP Paribas Cardif Pojišťovně</w:t>
      </w:r>
    </w:p>
    <w:p w14:paraId="39A0F75D" w14:textId="65FAE1A9" w:rsidR="00383922" w:rsidRDefault="006C3645" w:rsidP="00383922">
      <w:pPr>
        <w:spacing w:line="276" w:lineRule="auto"/>
        <w:rPr>
          <w:rFonts w:ascii="BNPP Sans Light" w:eastAsia="BNPP Sans Light" w:hAnsi="BNPP Sans Light"/>
          <w:lang w:val="cs-CZ"/>
        </w:rPr>
      </w:pPr>
      <w:r w:rsidRPr="005D67AE">
        <w:rPr>
          <w:rFonts w:ascii="BNPP Sans Light" w:eastAsia="BNPP Sans Light" w:hAnsi="BNPP Sans Light"/>
          <w:lang w:val="cs-CZ"/>
        </w:rPr>
        <w:t xml:space="preserve">BNP Paribas </w:t>
      </w:r>
      <w:proofErr w:type="spellStart"/>
      <w:r w:rsidRPr="005D67AE">
        <w:rPr>
          <w:rFonts w:ascii="BNPP Sans Light" w:eastAsia="BNPP Sans Light" w:hAnsi="BNPP Sans Light"/>
          <w:lang w:val="cs-CZ"/>
        </w:rPr>
        <w:t>Cardif</w:t>
      </w:r>
      <w:proofErr w:type="spellEnd"/>
      <w:r w:rsidRPr="005D67AE">
        <w:rPr>
          <w:rFonts w:ascii="BNPP Sans Light" w:eastAsia="BNPP Sans Light" w:hAnsi="BNPP Sans Light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5D67AE">
        <w:rPr>
          <w:rFonts w:ascii="BNPP Sans Light" w:eastAsia="BNPP Sans Light" w:hAnsi="BNPP Sans Light"/>
          <w:lang w:val="cs-CZ"/>
        </w:rPr>
        <w:t>bankopojištění</w:t>
      </w:r>
      <w:proofErr w:type="spellEnd"/>
      <w:r w:rsidRPr="005D67AE">
        <w:rPr>
          <w:rFonts w:ascii="BNPP Sans Light" w:eastAsia="BNPP Sans Light" w:hAnsi="BNPP Sans Light"/>
          <w:lang w:val="cs-CZ"/>
        </w:rPr>
        <w:t>. Již 30 let poskytuje produkty a</w:t>
      </w:r>
      <w:r>
        <w:rPr>
          <w:rFonts w:ascii="BNPP Sans Light" w:eastAsia="BNPP Sans Light" w:hAnsi="BNPP Sans Light"/>
          <w:lang w:val="cs-CZ"/>
        </w:rPr>
        <w:t> </w:t>
      </w:r>
      <w:r w:rsidRPr="005D67AE">
        <w:rPr>
          <w:rFonts w:ascii="BNPP Sans Light" w:eastAsia="BNPP Sans Light" w:hAnsi="BNPP Sans Light"/>
          <w:lang w:val="cs-CZ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 krádeže, domácnosti či úrazové pojištění. Patří do renomované finanční skupiny BNP Paribas, jejíž součástí je i BNP Paribas </w:t>
      </w:r>
      <w:proofErr w:type="spellStart"/>
      <w:r w:rsidRPr="005D67AE">
        <w:rPr>
          <w:rFonts w:ascii="BNPP Sans Light" w:eastAsia="BNPP Sans Light" w:hAnsi="BNPP Sans Light"/>
          <w:lang w:val="cs-CZ"/>
        </w:rPr>
        <w:t>Cardif</w:t>
      </w:r>
      <w:proofErr w:type="spellEnd"/>
      <w:r w:rsidRPr="005D67AE">
        <w:rPr>
          <w:rFonts w:ascii="BNPP Sans Light" w:eastAsia="BNPP Sans Light" w:hAnsi="BNPP Sans Light"/>
          <w:lang w:val="cs-CZ"/>
        </w:rPr>
        <w:t xml:space="preserve">, 100% vlastník BNP Paribas </w:t>
      </w:r>
      <w:proofErr w:type="spellStart"/>
      <w:r w:rsidRPr="005D67AE">
        <w:rPr>
          <w:rFonts w:ascii="BNPP Sans Light" w:eastAsia="BNPP Sans Light" w:hAnsi="BNPP Sans Light"/>
          <w:lang w:val="cs-CZ"/>
        </w:rPr>
        <w:t>Cardif</w:t>
      </w:r>
      <w:proofErr w:type="spellEnd"/>
      <w:r w:rsidRPr="005D67AE">
        <w:rPr>
          <w:rFonts w:ascii="BNPP Sans Light" w:eastAsia="BNPP Sans Light" w:hAnsi="BNPP Sans Light"/>
          <w:lang w:val="cs-CZ"/>
        </w:rPr>
        <w:t xml:space="preserve"> Pojišťovny. V soutěži </w:t>
      </w:r>
      <w:proofErr w:type="spellStart"/>
      <w:r w:rsidRPr="005D67AE">
        <w:rPr>
          <w:rFonts w:ascii="BNPP Sans Light" w:eastAsia="BNPP Sans Light" w:hAnsi="BNPP Sans Light"/>
          <w:lang w:val="cs-CZ"/>
        </w:rPr>
        <w:t>Finparáda</w:t>
      </w:r>
      <w:proofErr w:type="spellEnd"/>
      <w:r w:rsidRPr="005D67AE">
        <w:rPr>
          <w:rFonts w:ascii="BNPP Sans Light" w:eastAsia="BNPP Sans Light" w:hAnsi="BNPP Sans Light"/>
          <w:lang w:val="cs-CZ"/>
        </w:rPr>
        <w:t xml:space="preserve"> – Finanční produkt roku 2026 získala první místo v kategoriích Pojištění schopnosti splácet půjčku a Pojištění schopnosti splácet hypotéku a zároveň druhé místo v obou těchto kategoriích. V roce 2023 se BNP Paribas </w:t>
      </w:r>
      <w:proofErr w:type="spellStart"/>
      <w:r w:rsidRPr="005D67AE">
        <w:rPr>
          <w:rFonts w:ascii="BNPP Sans Light" w:eastAsia="BNPP Sans Light" w:hAnsi="BNPP Sans Light"/>
          <w:lang w:val="cs-CZ"/>
        </w:rPr>
        <w:t>Cardif</w:t>
      </w:r>
      <w:proofErr w:type="spellEnd"/>
      <w:r w:rsidRPr="005D67AE">
        <w:rPr>
          <w:rFonts w:ascii="BNPP Sans Light" w:eastAsia="BNPP Sans Light" w:hAnsi="BNPP Sans Light"/>
          <w:lang w:val="cs-CZ"/>
        </w:rPr>
        <w:t xml:space="preserve"> Pojišťovna umístila na 3. místě v soutěži Mastercard Banka roku, a to v kategorii Zodpovědná pojišťovna. Více na </w:t>
      </w:r>
      <w:hyperlink r:id="rId8" w:history="1">
        <w:r w:rsidRPr="00A03CF3">
          <w:rPr>
            <w:rStyle w:val="Hypertextovodkaz"/>
            <w:rFonts w:ascii="BNPP Sans Light" w:eastAsia="BNPP Sans Light" w:hAnsi="BNPP Sans Light"/>
            <w:b/>
            <w:bCs/>
            <w:lang w:val="cs-CZ"/>
          </w:rPr>
          <w:t>cardif.cz</w:t>
        </w:r>
      </w:hyperlink>
      <w:r w:rsidRPr="005D67AE">
        <w:rPr>
          <w:rFonts w:ascii="BNPP Sans Light" w:eastAsia="BNPP Sans Light" w:hAnsi="BNPP Sans Light"/>
          <w:lang w:val="cs-CZ"/>
        </w:rPr>
        <w:t>.</w:t>
      </w:r>
    </w:p>
    <w:p w14:paraId="42DD4EF8" w14:textId="77777777" w:rsidR="006C3645" w:rsidRPr="00383922" w:rsidRDefault="006C3645" w:rsidP="00383922">
      <w:pPr>
        <w:spacing w:line="276" w:lineRule="auto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</w:p>
    <w:p w14:paraId="6F3E6C92" w14:textId="77777777" w:rsidR="00383922" w:rsidRPr="00383922" w:rsidRDefault="00383922" w:rsidP="00383922">
      <w:pPr>
        <w:spacing w:line="276" w:lineRule="auto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t>Kontakt pro média:</w:t>
      </w:r>
    </w:p>
    <w:p w14:paraId="48D8094F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  <w:sectPr w:rsidR="00383922" w:rsidRPr="00383922" w:rsidSect="00383922">
          <w:pgSz w:w="11906" w:h="16838"/>
          <w:pgMar w:top="851" w:right="851" w:bottom="1418" w:left="851" w:header="170" w:footer="1509" w:gutter="0"/>
          <w:cols w:space="708"/>
        </w:sectPr>
      </w:pPr>
    </w:p>
    <w:p w14:paraId="22EA07AC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 xml:space="preserve">Alena </w:t>
      </w:r>
      <w:proofErr w:type="spellStart"/>
      <w:r w:rsidRPr="00383922">
        <w:rPr>
          <w:rFonts w:ascii="BNPP Sans Light" w:eastAsia="Arial" w:hAnsi="BNPP Sans Light"/>
          <w:bCs/>
          <w:szCs w:val="24"/>
          <w:lang w:val="cs-CZ"/>
        </w:rPr>
        <w:t>Šopov</w:t>
      </w:r>
      <w:proofErr w:type="spellEnd"/>
    </w:p>
    <w:p w14:paraId="07352183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szCs w:val="24"/>
          <w:lang w:val="cs-CZ"/>
        </w:rPr>
        <w:t>Brand &amp; Communication Manager</w:t>
      </w:r>
      <w:r w:rsidRPr="00383922">
        <w:rPr>
          <w:rFonts w:ascii="BNPP Sans Light" w:eastAsia="Arial" w:hAnsi="BNPP Sans Light"/>
          <w:bCs/>
          <w:szCs w:val="24"/>
          <w:lang w:val="cs-CZ"/>
        </w:rPr>
        <w:t xml:space="preserve"> </w:t>
      </w:r>
    </w:p>
    <w:p w14:paraId="1C5351C5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BNP Paribas Cardif Pojišťovna, a.s.</w:t>
      </w:r>
    </w:p>
    <w:p w14:paraId="4374A85D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proofErr w:type="spellStart"/>
      <w:r w:rsidRPr="00383922">
        <w:rPr>
          <w:rFonts w:ascii="BNPP Sans Light" w:eastAsia="Arial" w:hAnsi="BNPP Sans Light"/>
          <w:bCs/>
          <w:szCs w:val="24"/>
          <w:lang w:val="cs-CZ"/>
        </w:rPr>
        <w:t>Boudníkova</w:t>
      </w:r>
      <w:proofErr w:type="spellEnd"/>
      <w:r w:rsidRPr="00383922">
        <w:rPr>
          <w:rFonts w:ascii="BNPP Sans Light" w:eastAsia="Arial" w:hAnsi="BNPP Sans Light"/>
          <w:bCs/>
          <w:szCs w:val="24"/>
          <w:lang w:val="cs-CZ"/>
        </w:rPr>
        <w:t xml:space="preserve"> 2506/1, 180 00 Praha 8</w:t>
      </w:r>
    </w:p>
    <w:p w14:paraId="6D6BE1A8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Tel.:</w:t>
      </w:r>
      <w:r w:rsidRPr="00383922">
        <w:rPr>
          <w:rFonts w:ascii="Arial" w:eastAsia="Arial" w:hAnsi="Arial"/>
        </w:rPr>
        <w:t xml:space="preserve"> </w:t>
      </w:r>
      <w:r w:rsidRPr="00383922">
        <w:rPr>
          <w:rFonts w:ascii="BNPP Sans Light" w:eastAsia="Arial" w:hAnsi="BNPP Sans Light"/>
          <w:bCs/>
          <w:szCs w:val="24"/>
          <w:lang w:val="cs-CZ"/>
        </w:rPr>
        <w:t>+420 773 632 270</w:t>
      </w:r>
    </w:p>
    <w:p w14:paraId="5EBCDD1F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E-mail: alena.sopov@cardif.com</w:t>
      </w:r>
    </w:p>
    <w:p w14:paraId="0E7BC81B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</w:p>
    <w:p w14:paraId="3DB85F1E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Jana Papoušková</w:t>
      </w:r>
      <w:r w:rsidRPr="00383922">
        <w:rPr>
          <w:rFonts w:ascii="BNPP Sans Light" w:eastAsia="Arial" w:hAnsi="BNPP Sans Light"/>
          <w:bCs/>
          <w:szCs w:val="24"/>
          <w:lang w:val="cs-CZ"/>
        </w:rPr>
        <w:br/>
      </w:r>
      <w:r w:rsidRPr="00383922">
        <w:rPr>
          <w:rFonts w:ascii="BNPP Sans Light" w:eastAsia="Arial" w:hAnsi="BNPP Sans Light"/>
          <w:szCs w:val="24"/>
          <w:lang w:val="cs-CZ"/>
        </w:rPr>
        <w:t>Account Manager</w:t>
      </w:r>
      <w:r w:rsidRPr="00383922">
        <w:rPr>
          <w:rFonts w:ascii="BNPP Sans Light" w:eastAsia="Arial" w:hAnsi="BNPP Sans Light"/>
          <w:szCs w:val="24"/>
          <w:lang w:val="cs-CZ"/>
        </w:rPr>
        <w:br/>
        <w:t>Stance Communications, s.r.o.</w:t>
      </w:r>
    </w:p>
    <w:p w14:paraId="6525DB49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</w:pPr>
      <w:r w:rsidRPr="00383922">
        <w:rPr>
          <w:rFonts w:ascii="BNPP Sans Light" w:eastAsia="Arial" w:hAnsi="BNPP Sans Light"/>
          <w:szCs w:val="24"/>
          <w:lang w:val="cs-CZ"/>
        </w:rPr>
        <w:t>Jungmannova 750/34, 110 00 Praha 1</w:t>
      </w:r>
      <w:r w:rsidRPr="00383922">
        <w:rPr>
          <w:rFonts w:ascii="BNPP Sans Light" w:eastAsia="Arial" w:hAnsi="BNPP Sans Light"/>
          <w:szCs w:val="24"/>
          <w:lang w:val="cs-CZ"/>
        </w:rPr>
        <w:br/>
        <w:t>Tel.: +420 602 434 733</w:t>
      </w:r>
      <w:r w:rsidRPr="00383922">
        <w:rPr>
          <w:rFonts w:ascii="BNPP Sans Light" w:eastAsia="Arial" w:hAnsi="BNPP Sans Light"/>
          <w:szCs w:val="24"/>
          <w:lang w:val="cs-CZ"/>
        </w:rPr>
        <w:br/>
        <w:t>E-mail: jana.papouskova@stance.cz</w:t>
      </w:r>
    </w:p>
    <w:p w14:paraId="785A741B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  <w:sectPr w:rsidR="00383922" w:rsidRPr="00383922" w:rsidSect="00383922">
          <w:type w:val="continuous"/>
          <w:pgSz w:w="11906" w:h="16838"/>
          <w:pgMar w:top="851" w:right="851" w:bottom="1418" w:left="851" w:header="170" w:footer="1509" w:gutter="0"/>
          <w:cols w:num="2" w:space="708"/>
        </w:sectPr>
      </w:pPr>
    </w:p>
    <w:p w14:paraId="7E41B63A" w14:textId="77777777" w:rsidR="00DC2DE9" w:rsidRPr="003F3C01" w:rsidRDefault="00DC2DE9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DD3B26">
            <w:pPr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DD3B26">
            <w:pPr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4EAB964A" w14:textId="2A1C4D49" w:rsidR="00DD3B26" w:rsidRPr="008B618A" w:rsidRDefault="00DD3B26" w:rsidP="00383922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5401F2">
      <w:footerReference w:type="default" r:id="rId9"/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FF75" w14:textId="77777777" w:rsidR="0046651F" w:rsidRDefault="0046651F" w:rsidP="008C4C01">
      <w:r>
        <w:separator/>
      </w:r>
    </w:p>
  </w:endnote>
  <w:endnote w:type="continuationSeparator" w:id="0">
    <w:p w14:paraId="64AC67D9" w14:textId="77777777" w:rsidR="0046651F" w:rsidRDefault="0046651F" w:rsidP="008C4C01">
      <w:r>
        <w:continuationSeparator/>
      </w:r>
    </w:p>
  </w:endnote>
  <w:endnote w:type="continuationNotice" w:id="1">
    <w:p w14:paraId="6678B510" w14:textId="77777777" w:rsidR="0046651F" w:rsidRDefault="004665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EE"/>
    <w:family w:val="auto"/>
    <w:notTrueType/>
    <w:pitch w:val="variable"/>
    <w:sig w:usb0="A00002AF" w:usb1="4000204A" w:usb2="00000000" w:usb3="00000000" w:csb0="0000009F" w:csb1="00000000"/>
  </w:font>
  <w:font w:name="BNPP Sans Light">
    <w:altName w:val="Calibri"/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7B08637" w:rsidR="00161CB7" w:rsidRDefault="001501B9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961F8BD">
          <wp:simplePos x="0" y="0"/>
          <wp:positionH relativeFrom="margin">
            <wp:posOffset>4974590</wp:posOffset>
          </wp:positionH>
          <wp:positionV relativeFrom="margin">
            <wp:posOffset>9070340</wp:posOffset>
          </wp:positionV>
          <wp:extent cx="1639570" cy="777240"/>
          <wp:effectExtent l="0" t="0" r="0" b="3810"/>
          <wp:wrapSquare wrapText="bothSides"/>
          <wp:docPr id="1619675521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4"/>
                  <a:stretch/>
                </pic:blipFill>
                <pic:spPr bwMode="auto">
                  <a:xfrm>
                    <a:off x="0" y="0"/>
                    <a:ext cx="163957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9A"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7A19E37D">
          <wp:simplePos x="0" y="0"/>
          <wp:positionH relativeFrom="margin">
            <wp:posOffset>-28575</wp:posOffset>
          </wp:positionH>
          <wp:positionV relativeFrom="margin">
            <wp:posOffset>8959215</wp:posOffset>
          </wp:positionV>
          <wp:extent cx="2709545" cy="789305"/>
          <wp:effectExtent l="0" t="0" r="0" b="0"/>
          <wp:wrapSquare wrapText="bothSides"/>
          <wp:docPr id="347409870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r="37135"/>
                  <a:stretch/>
                </pic:blipFill>
                <pic:spPr bwMode="auto">
                  <a:xfrm>
                    <a:off x="0" y="0"/>
                    <a:ext cx="27095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5C31" w14:textId="77777777" w:rsidR="0046651F" w:rsidRDefault="0046651F" w:rsidP="008C4C01">
      <w:r>
        <w:separator/>
      </w:r>
    </w:p>
  </w:footnote>
  <w:footnote w:type="continuationSeparator" w:id="0">
    <w:p w14:paraId="2AFCD9F7" w14:textId="77777777" w:rsidR="0046651F" w:rsidRDefault="0046651F" w:rsidP="008C4C01">
      <w:r>
        <w:continuationSeparator/>
      </w:r>
    </w:p>
  </w:footnote>
  <w:footnote w:type="continuationNotice" w:id="1">
    <w:p w14:paraId="32BE8B45" w14:textId="77777777" w:rsidR="0046651F" w:rsidRDefault="004665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F6A"/>
    <w:multiLevelType w:val="multilevel"/>
    <w:tmpl w:val="DCD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31719"/>
    <w:multiLevelType w:val="multilevel"/>
    <w:tmpl w:val="BF4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60D59"/>
    <w:multiLevelType w:val="hybridMultilevel"/>
    <w:tmpl w:val="A56E0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A50"/>
    <w:multiLevelType w:val="multilevel"/>
    <w:tmpl w:val="7D4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45C76"/>
    <w:multiLevelType w:val="hybridMultilevel"/>
    <w:tmpl w:val="EED64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2595">
    <w:abstractNumId w:val="1"/>
  </w:num>
  <w:num w:numId="2" w16cid:durableId="1053507702">
    <w:abstractNumId w:val="3"/>
  </w:num>
  <w:num w:numId="3" w16cid:durableId="1253971081">
    <w:abstractNumId w:val="4"/>
  </w:num>
  <w:num w:numId="4" w16cid:durableId="855655990">
    <w:abstractNumId w:val="0"/>
  </w:num>
  <w:num w:numId="5" w16cid:durableId="203976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6620F"/>
    <w:rsid w:val="00067A48"/>
    <w:rsid w:val="00067F58"/>
    <w:rsid w:val="00072377"/>
    <w:rsid w:val="0007472F"/>
    <w:rsid w:val="00074AA8"/>
    <w:rsid w:val="00074C06"/>
    <w:rsid w:val="0008348A"/>
    <w:rsid w:val="00084CFB"/>
    <w:rsid w:val="00094C7E"/>
    <w:rsid w:val="000A212B"/>
    <w:rsid w:val="000A4D19"/>
    <w:rsid w:val="000B56B8"/>
    <w:rsid w:val="000C6CEE"/>
    <w:rsid w:val="000D5BC9"/>
    <w:rsid w:val="000D6FFB"/>
    <w:rsid w:val="000F2BB0"/>
    <w:rsid w:val="001042AB"/>
    <w:rsid w:val="00106946"/>
    <w:rsid w:val="00110112"/>
    <w:rsid w:val="001233AB"/>
    <w:rsid w:val="0013683C"/>
    <w:rsid w:val="00140ED7"/>
    <w:rsid w:val="001501B9"/>
    <w:rsid w:val="0015149D"/>
    <w:rsid w:val="00152551"/>
    <w:rsid w:val="00157041"/>
    <w:rsid w:val="00160517"/>
    <w:rsid w:val="00161CB7"/>
    <w:rsid w:val="00166D27"/>
    <w:rsid w:val="00196541"/>
    <w:rsid w:val="001A7C06"/>
    <w:rsid w:val="001B046D"/>
    <w:rsid w:val="001B1C81"/>
    <w:rsid w:val="001B1D74"/>
    <w:rsid w:val="001B24F0"/>
    <w:rsid w:val="001B2B8B"/>
    <w:rsid w:val="001B6589"/>
    <w:rsid w:val="001C3477"/>
    <w:rsid w:val="001D3B9F"/>
    <w:rsid w:val="001D4C17"/>
    <w:rsid w:val="001D4EF5"/>
    <w:rsid w:val="001E0A55"/>
    <w:rsid w:val="001F0B7F"/>
    <w:rsid w:val="001F6F14"/>
    <w:rsid w:val="002045FA"/>
    <w:rsid w:val="00211B23"/>
    <w:rsid w:val="00214AE2"/>
    <w:rsid w:val="00215C08"/>
    <w:rsid w:val="0022214F"/>
    <w:rsid w:val="002249C3"/>
    <w:rsid w:val="00227880"/>
    <w:rsid w:val="002360BD"/>
    <w:rsid w:val="00240F4F"/>
    <w:rsid w:val="00250C49"/>
    <w:rsid w:val="00252529"/>
    <w:rsid w:val="002566B2"/>
    <w:rsid w:val="002858D5"/>
    <w:rsid w:val="00287FEC"/>
    <w:rsid w:val="002A4764"/>
    <w:rsid w:val="002B1CC4"/>
    <w:rsid w:val="002B2F00"/>
    <w:rsid w:val="002B3FCB"/>
    <w:rsid w:val="002C15E8"/>
    <w:rsid w:val="002D28E0"/>
    <w:rsid w:val="002D5A2C"/>
    <w:rsid w:val="002E31BF"/>
    <w:rsid w:val="002F5F7F"/>
    <w:rsid w:val="00300F60"/>
    <w:rsid w:val="003041A4"/>
    <w:rsid w:val="00304548"/>
    <w:rsid w:val="00320302"/>
    <w:rsid w:val="0032324E"/>
    <w:rsid w:val="00332E8D"/>
    <w:rsid w:val="003347EF"/>
    <w:rsid w:val="00336245"/>
    <w:rsid w:val="0034092E"/>
    <w:rsid w:val="00340B97"/>
    <w:rsid w:val="00341BC6"/>
    <w:rsid w:val="00346635"/>
    <w:rsid w:val="00350511"/>
    <w:rsid w:val="003567F6"/>
    <w:rsid w:val="003708D3"/>
    <w:rsid w:val="0038375A"/>
    <w:rsid w:val="00383922"/>
    <w:rsid w:val="00386295"/>
    <w:rsid w:val="00390957"/>
    <w:rsid w:val="003949BC"/>
    <w:rsid w:val="003A066F"/>
    <w:rsid w:val="003A1ACF"/>
    <w:rsid w:val="003B2694"/>
    <w:rsid w:val="003B2C08"/>
    <w:rsid w:val="003D4909"/>
    <w:rsid w:val="003D4E41"/>
    <w:rsid w:val="003E2B25"/>
    <w:rsid w:val="003E2DAB"/>
    <w:rsid w:val="003E3FE3"/>
    <w:rsid w:val="003E441B"/>
    <w:rsid w:val="003F0BBA"/>
    <w:rsid w:val="003F3C01"/>
    <w:rsid w:val="0041702A"/>
    <w:rsid w:val="0042340B"/>
    <w:rsid w:val="0043277B"/>
    <w:rsid w:val="0043508C"/>
    <w:rsid w:val="00441A99"/>
    <w:rsid w:val="004446BC"/>
    <w:rsid w:val="00447A22"/>
    <w:rsid w:val="00460D98"/>
    <w:rsid w:val="00460DD0"/>
    <w:rsid w:val="00463D4E"/>
    <w:rsid w:val="00464EC7"/>
    <w:rsid w:val="00465B45"/>
    <w:rsid w:val="0046651F"/>
    <w:rsid w:val="00470209"/>
    <w:rsid w:val="004709E3"/>
    <w:rsid w:val="00474CD7"/>
    <w:rsid w:val="004840AC"/>
    <w:rsid w:val="00485BFC"/>
    <w:rsid w:val="00492619"/>
    <w:rsid w:val="004970E5"/>
    <w:rsid w:val="004A33B5"/>
    <w:rsid w:val="004A34D3"/>
    <w:rsid w:val="004B2619"/>
    <w:rsid w:val="004E4B77"/>
    <w:rsid w:val="00500FCF"/>
    <w:rsid w:val="0050680B"/>
    <w:rsid w:val="00506C33"/>
    <w:rsid w:val="005116E6"/>
    <w:rsid w:val="00522B92"/>
    <w:rsid w:val="005275E0"/>
    <w:rsid w:val="005325C1"/>
    <w:rsid w:val="005401F2"/>
    <w:rsid w:val="005477B6"/>
    <w:rsid w:val="0056255F"/>
    <w:rsid w:val="00564A9A"/>
    <w:rsid w:val="00572583"/>
    <w:rsid w:val="00574AE9"/>
    <w:rsid w:val="005A4414"/>
    <w:rsid w:val="005B58E2"/>
    <w:rsid w:val="005C0F94"/>
    <w:rsid w:val="005C5BB5"/>
    <w:rsid w:val="005E4326"/>
    <w:rsid w:val="005E53F9"/>
    <w:rsid w:val="005F1F96"/>
    <w:rsid w:val="005F3277"/>
    <w:rsid w:val="005F48B0"/>
    <w:rsid w:val="005F6AFC"/>
    <w:rsid w:val="005F6F06"/>
    <w:rsid w:val="00610168"/>
    <w:rsid w:val="006252E9"/>
    <w:rsid w:val="0063274A"/>
    <w:rsid w:val="00634F0A"/>
    <w:rsid w:val="006503FF"/>
    <w:rsid w:val="00661578"/>
    <w:rsid w:val="0066233B"/>
    <w:rsid w:val="0067556E"/>
    <w:rsid w:val="006805D3"/>
    <w:rsid w:val="00684DC6"/>
    <w:rsid w:val="00686D90"/>
    <w:rsid w:val="00697AA7"/>
    <w:rsid w:val="006A6DD1"/>
    <w:rsid w:val="006A7658"/>
    <w:rsid w:val="006B0331"/>
    <w:rsid w:val="006B40E2"/>
    <w:rsid w:val="006C0A5A"/>
    <w:rsid w:val="006C2224"/>
    <w:rsid w:val="006C3645"/>
    <w:rsid w:val="006D0280"/>
    <w:rsid w:val="006D3104"/>
    <w:rsid w:val="006E4BB6"/>
    <w:rsid w:val="006E6556"/>
    <w:rsid w:val="006E7AFD"/>
    <w:rsid w:val="006F084C"/>
    <w:rsid w:val="006F3FB2"/>
    <w:rsid w:val="00701BFB"/>
    <w:rsid w:val="00707D98"/>
    <w:rsid w:val="00710021"/>
    <w:rsid w:val="00715B37"/>
    <w:rsid w:val="00716C8B"/>
    <w:rsid w:val="00717C84"/>
    <w:rsid w:val="00727DD9"/>
    <w:rsid w:val="00734B99"/>
    <w:rsid w:val="007350D2"/>
    <w:rsid w:val="0073793E"/>
    <w:rsid w:val="00747CF4"/>
    <w:rsid w:val="00750AEF"/>
    <w:rsid w:val="00761F78"/>
    <w:rsid w:val="00766BA3"/>
    <w:rsid w:val="00766C06"/>
    <w:rsid w:val="007732E2"/>
    <w:rsid w:val="00773F76"/>
    <w:rsid w:val="0077492F"/>
    <w:rsid w:val="007862CB"/>
    <w:rsid w:val="007867E2"/>
    <w:rsid w:val="00792200"/>
    <w:rsid w:val="007957BB"/>
    <w:rsid w:val="007A066E"/>
    <w:rsid w:val="007A2DE7"/>
    <w:rsid w:val="007A63A5"/>
    <w:rsid w:val="007A6BDA"/>
    <w:rsid w:val="007B2E36"/>
    <w:rsid w:val="007B41B9"/>
    <w:rsid w:val="007B4CBB"/>
    <w:rsid w:val="007B62EB"/>
    <w:rsid w:val="007B76B3"/>
    <w:rsid w:val="007C0374"/>
    <w:rsid w:val="007C10AA"/>
    <w:rsid w:val="007C2893"/>
    <w:rsid w:val="007C35FC"/>
    <w:rsid w:val="007C5F43"/>
    <w:rsid w:val="007D3409"/>
    <w:rsid w:val="007E48CC"/>
    <w:rsid w:val="007E55C4"/>
    <w:rsid w:val="007F155B"/>
    <w:rsid w:val="007F461F"/>
    <w:rsid w:val="007F501C"/>
    <w:rsid w:val="00805A96"/>
    <w:rsid w:val="0080623A"/>
    <w:rsid w:val="008064BA"/>
    <w:rsid w:val="00811824"/>
    <w:rsid w:val="00812485"/>
    <w:rsid w:val="00812B7B"/>
    <w:rsid w:val="00825F40"/>
    <w:rsid w:val="00827F92"/>
    <w:rsid w:val="0083014E"/>
    <w:rsid w:val="00831B93"/>
    <w:rsid w:val="008378A2"/>
    <w:rsid w:val="00842208"/>
    <w:rsid w:val="00855515"/>
    <w:rsid w:val="00860090"/>
    <w:rsid w:val="00862504"/>
    <w:rsid w:val="008706D3"/>
    <w:rsid w:val="008715DC"/>
    <w:rsid w:val="00875B9F"/>
    <w:rsid w:val="008764E3"/>
    <w:rsid w:val="0089321A"/>
    <w:rsid w:val="008951A8"/>
    <w:rsid w:val="008A340D"/>
    <w:rsid w:val="008B52BF"/>
    <w:rsid w:val="008B618A"/>
    <w:rsid w:val="008C0B2F"/>
    <w:rsid w:val="008C4C01"/>
    <w:rsid w:val="008C4D8D"/>
    <w:rsid w:val="008D1632"/>
    <w:rsid w:val="008D1A6B"/>
    <w:rsid w:val="008D3F63"/>
    <w:rsid w:val="008D45E7"/>
    <w:rsid w:val="008E085C"/>
    <w:rsid w:val="008E5425"/>
    <w:rsid w:val="008F3E55"/>
    <w:rsid w:val="008F4F0A"/>
    <w:rsid w:val="008F5D89"/>
    <w:rsid w:val="00912A62"/>
    <w:rsid w:val="00914CB6"/>
    <w:rsid w:val="00914F4B"/>
    <w:rsid w:val="00920C1C"/>
    <w:rsid w:val="00942502"/>
    <w:rsid w:val="00945651"/>
    <w:rsid w:val="00960146"/>
    <w:rsid w:val="00962CB6"/>
    <w:rsid w:val="00963F72"/>
    <w:rsid w:val="00970DFA"/>
    <w:rsid w:val="00987AD6"/>
    <w:rsid w:val="0099135D"/>
    <w:rsid w:val="00991878"/>
    <w:rsid w:val="00993AD6"/>
    <w:rsid w:val="00996625"/>
    <w:rsid w:val="00997E0C"/>
    <w:rsid w:val="009A3DD2"/>
    <w:rsid w:val="009A4211"/>
    <w:rsid w:val="009B1EB8"/>
    <w:rsid w:val="009B20D8"/>
    <w:rsid w:val="009B75E8"/>
    <w:rsid w:val="009C71C7"/>
    <w:rsid w:val="009D0E33"/>
    <w:rsid w:val="009D5931"/>
    <w:rsid w:val="009D7C0B"/>
    <w:rsid w:val="009E2B96"/>
    <w:rsid w:val="009E3522"/>
    <w:rsid w:val="009E3595"/>
    <w:rsid w:val="009E4FFF"/>
    <w:rsid w:val="009E5B32"/>
    <w:rsid w:val="009F66C9"/>
    <w:rsid w:val="009F7C95"/>
    <w:rsid w:val="00A00946"/>
    <w:rsid w:val="00A068DE"/>
    <w:rsid w:val="00A06AA0"/>
    <w:rsid w:val="00A120AF"/>
    <w:rsid w:val="00A173F1"/>
    <w:rsid w:val="00A2603F"/>
    <w:rsid w:val="00A3421C"/>
    <w:rsid w:val="00A35CC7"/>
    <w:rsid w:val="00A36995"/>
    <w:rsid w:val="00A4384B"/>
    <w:rsid w:val="00A5534B"/>
    <w:rsid w:val="00A76752"/>
    <w:rsid w:val="00A77A35"/>
    <w:rsid w:val="00A83AB1"/>
    <w:rsid w:val="00A85196"/>
    <w:rsid w:val="00A90D7A"/>
    <w:rsid w:val="00A942A5"/>
    <w:rsid w:val="00A95062"/>
    <w:rsid w:val="00A96EFB"/>
    <w:rsid w:val="00AA442C"/>
    <w:rsid w:val="00AA7D34"/>
    <w:rsid w:val="00AB09FE"/>
    <w:rsid w:val="00AB47CA"/>
    <w:rsid w:val="00AB63A2"/>
    <w:rsid w:val="00AC0C33"/>
    <w:rsid w:val="00AD1089"/>
    <w:rsid w:val="00AD44B0"/>
    <w:rsid w:val="00AD609E"/>
    <w:rsid w:val="00AE0CC5"/>
    <w:rsid w:val="00AF1147"/>
    <w:rsid w:val="00AF30C2"/>
    <w:rsid w:val="00AF3D2D"/>
    <w:rsid w:val="00AF7D78"/>
    <w:rsid w:val="00B02DFA"/>
    <w:rsid w:val="00B10408"/>
    <w:rsid w:val="00B10A01"/>
    <w:rsid w:val="00B138C5"/>
    <w:rsid w:val="00B16C9A"/>
    <w:rsid w:val="00B202A9"/>
    <w:rsid w:val="00B22220"/>
    <w:rsid w:val="00B3159E"/>
    <w:rsid w:val="00B32E0A"/>
    <w:rsid w:val="00B33111"/>
    <w:rsid w:val="00B47834"/>
    <w:rsid w:val="00B5212B"/>
    <w:rsid w:val="00B61EEB"/>
    <w:rsid w:val="00B63548"/>
    <w:rsid w:val="00B66942"/>
    <w:rsid w:val="00B73581"/>
    <w:rsid w:val="00B7632D"/>
    <w:rsid w:val="00B7795B"/>
    <w:rsid w:val="00B80CA7"/>
    <w:rsid w:val="00B9187F"/>
    <w:rsid w:val="00B944DF"/>
    <w:rsid w:val="00BA12F4"/>
    <w:rsid w:val="00BA4F75"/>
    <w:rsid w:val="00BB150B"/>
    <w:rsid w:val="00BB278D"/>
    <w:rsid w:val="00BB5946"/>
    <w:rsid w:val="00BD0BF7"/>
    <w:rsid w:val="00BD3082"/>
    <w:rsid w:val="00BD7BAA"/>
    <w:rsid w:val="00BF6229"/>
    <w:rsid w:val="00C001E2"/>
    <w:rsid w:val="00C05FBD"/>
    <w:rsid w:val="00C06A36"/>
    <w:rsid w:val="00C11389"/>
    <w:rsid w:val="00C12A21"/>
    <w:rsid w:val="00C14274"/>
    <w:rsid w:val="00C1512F"/>
    <w:rsid w:val="00C22C47"/>
    <w:rsid w:val="00C26487"/>
    <w:rsid w:val="00C2682A"/>
    <w:rsid w:val="00C30903"/>
    <w:rsid w:val="00C45571"/>
    <w:rsid w:val="00C47B7C"/>
    <w:rsid w:val="00C5012C"/>
    <w:rsid w:val="00C624ED"/>
    <w:rsid w:val="00C67D81"/>
    <w:rsid w:val="00C72204"/>
    <w:rsid w:val="00C73C5F"/>
    <w:rsid w:val="00C77D3B"/>
    <w:rsid w:val="00C822FA"/>
    <w:rsid w:val="00CA50E9"/>
    <w:rsid w:val="00CA58E9"/>
    <w:rsid w:val="00CB2965"/>
    <w:rsid w:val="00CC0154"/>
    <w:rsid w:val="00CD24D6"/>
    <w:rsid w:val="00CD7881"/>
    <w:rsid w:val="00CE6750"/>
    <w:rsid w:val="00CE7C28"/>
    <w:rsid w:val="00CF44C8"/>
    <w:rsid w:val="00CF4A9C"/>
    <w:rsid w:val="00CF5C70"/>
    <w:rsid w:val="00D052F2"/>
    <w:rsid w:val="00D05E1E"/>
    <w:rsid w:val="00D061B6"/>
    <w:rsid w:val="00D065B0"/>
    <w:rsid w:val="00D22A64"/>
    <w:rsid w:val="00D31F9C"/>
    <w:rsid w:val="00D32777"/>
    <w:rsid w:val="00D37A7D"/>
    <w:rsid w:val="00D45E69"/>
    <w:rsid w:val="00D50574"/>
    <w:rsid w:val="00D52499"/>
    <w:rsid w:val="00D54116"/>
    <w:rsid w:val="00D5535A"/>
    <w:rsid w:val="00D60CB3"/>
    <w:rsid w:val="00D6786C"/>
    <w:rsid w:val="00D733D9"/>
    <w:rsid w:val="00D75EB2"/>
    <w:rsid w:val="00D90520"/>
    <w:rsid w:val="00DA1A3E"/>
    <w:rsid w:val="00DA2C85"/>
    <w:rsid w:val="00DA34CB"/>
    <w:rsid w:val="00DB0757"/>
    <w:rsid w:val="00DB4CFA"/>
    <w:rsid w:val="00DC2566"/>
    <w:rsid w:val="00DC2DE9"/>
    <w:rsid w:val="00DD011A"/>
    <w:rsid w:val="00DD3B26"/>
    <w:rsid w:val="00DD59EA"/>
    <w:rsid w:val="00DE093A"/>
    <w:rsid w:val="00DE3610"/>
    <w:rsid w:val="00DE7911"/>
    <w:rsid w:val="00DF2DEC"/>
    <w:rsid w:val="00E078B8"/>
    <w:rsid w:val="00E10BE1"/>
    <w:rsid w:val="00E138DC"/>
    <w:rsid w:val="00E163FF"/>
    <w:rsid w:val="00E17449"/>
    <w:rsid w:val="00E23664"/>
    <w:rsid w:val="00E26694"/>
    <w:rsid w:val="00E37B92"/>
    <w:rsid w:val="00E4558A"/>
    <w:rsid w:val="00E50959"/>
    <w:rsid w:val="00E5481C"/>
    <w:rsid w:val="00E62490"/>
    <w:rsid w:val="00E6705C"/>
    <w:rsid w:val="00E760F6"/>
    <w:rsid w:val="00E839E8"/>
    <w:rsid w:val="00E90872"/>
    <w:rsid w:val="00E914A6"/>
    <w:rsid w:val="00E91F87"/>
    <w:rsid w:val="00E946FE"/>
    <w:rsid w:val="00EA17D0"/>
    <w:rsid w:val="00EB48F0"/>
    <w:rsid w:val="00EB4CFD"/>
    <w:rsid w:val="00EB7A1C"/>
    <w:rsid w:val="00ED09FB"/>
    <w:rsid w:val="00ED3DBB"/>
    <w:rsid w:val="00ED5D4A"/>
    <w:rsid w:val="00ED7E94"/>
    <w:rsid w:val="00EE2B1B"/>
    <w:rsid w:val="00EE2D4D"/>
    <w:rsid w:val="00EE4988"/>
    <w:rsid w:val="00EF2279"/>
    <w:rsid w:val="00EF5325"/>
    <w:rsid w:val="00F03A27"/>
    <w:rsid w:val="00F11981"/>
    <w:rsid w:val="00F164AB"/>
    <w:rsid w:val="00F3302B"/>
    <w:rsid w:val="00F36C35"/>
    <w:rsid w:val="00F4010C"/>
    <w:rsid w:val="00F42E1C"/>
    <w:rsid w:val="00F44327"/>
    <w:rsid w:val="00F46DA6"/>
    <w:rsid w:val="00F61CB9"/>
    <w:rsid w:val="00F67DB2"/>
    <w:rsid w:val="00F7088B"/>
    <w:rsid w:val="00F71445"/>
    <w:rsid w:val="00F73B40"/>
    <w:rsid w:val="00F77C35"/>
    <w:rsid w:val="00F83F4B"/>
    <w:rsid w:val="00F8609A"/>
    <w:rsid w:val="00F909A0"/>
    <w:rsid w:val="00F91D9C"/>
    <w:rsid w:val="00F95A1D"/>
    <w:rsid w:val="00FA07CA"/>
    <w:rsid w:val="00FA433A"/>
    <w:rsid w:val="00FA4A41"/>
    <w:rsid w:val="00FB05F9"/>
    <w:rsid w:val="00FB2773"/>
    <w:rsid w:val="00FB6499"/>
    <w:rsid w:val="00FC21A8"/>
    <w:rsid w:val="00FC2598"/>
    <w:rsid w:val="00FC4F54"/>
    <w:rsid w:val="00FC6A9B"/>
    <w:rsid w:val="00FC7903"/>
    <w:rsid w:val="00FD2AD0"/>
    <w:rsid w:val="00FD345B"/>
    <w:rsid w:val="00FD3475"/>
    <w:rsid w:val="00FD712B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15F842F0-38E5-435C-9352-5401F43D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4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49D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67EC-1363-4197-B0CE-1A74100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Kokešová</dc:creator>
  <cp:keywords/>
  <dc:description/>
  <cp:lastModifiedBy>Papoušková Jana</cp:lastModifiedBy>
  <cp:revision>2</cp:revision>
  <cp:lastPrinted>2015-06-02T15:55:00Z</cp:lastPrinted>
  <dcterms:created xsi:type="dcterms:W3CDTF">2026-05-12T11:17:00Z</dcterms:created>
  <dcterms:modified xsi:type="dcterms:W3CDTF">2026-05-12T11:17:00Z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