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91C9" w14:textId="13C6003D" w:rsidR="00A66B28" w:rsidRPr="00A66B28" w:rsidRDefault="00DB046A" w:rsidP="00075D37">
      <w:pPr>
        <w:rPr>
          <w:rFonts w:ascii="Times New Roman" w:hAnsi="Times New Roman" w:cs="Times New Roman"/>
          <w:sz w:val="54"/>
          <w:szCs w:val="54"/>
        </w:rPr>
      </w:pPr>
      <w:r w:rsidRPr="00DB046A">
        <w:rPr>
          <w:rFonts w:ascii="Times New Roman" w:hAnsi="Times New Roman" w:cs="Times New Roman"/>
          <w:sz w:val="54"/>
          <w:szCs w:val="54"/>
        </w:rPr>
        <w:t>Pozor na jarní vyúčtování</w:t>
      </w:r>
      <w:r w:rsidR="006A610C">
        <w:rPr>
          <w:rFonts w:ascii="Times New Roman" w:hAnsi="Times New Roman" w:cs="Times New Roman"/>
          <w:sz w:val="54"/>
          <w:szCs w:val="54"/>
        </w:rPr>
        <w:t xml:space="preserve">. </w:t>
      </w:r>
      <w:r w:rsidRPr="00DB046A">
        <w:rPr>
          <w:rFonts w:ascii="Times New Roman" w:hAnsi="Times New Roman" w:cs="Times New Roman"/>
          <w:sz w:val="54"/>
          <w:szCs w:val="54"/>
        </w:rPr>
        <w:t>Chyba v termínu může stát pronajímatele 50 korun denně</w:t>
      </w:r>
    </w:p>
    <w:p w14:paraId="2BA78072" w14:textId="40D80F10" w:rsidR="00CB378D" w:rsidRPr="00CB378D" w:rsidRDefault="009A7EF4" w:rsidP="00075D37">
      <w:pPr>
        <w:rPr>
          <w:b/>
          <w:bCs/>
        </w:rPr>
      </w:pPr>
      <w:r>
        <w:rPr>
          <w:b/>
          <w:bCs/>
        </w:rPr>
        <w:t>14. dubna</w:t>
      </w:r>
      <w:r w:rsidR="00C8658C">
        <w:rPr>
          <w:b/>
          <w:bCs/>
        </w:rPr>
        <w:t xml:space="preserve"> 2026</w:t>
      </w:r>
      <w:r w:rsidR="00CB378D">
        <w:rPr>
          <w:b/>
          <w:bCs/>
        </w:rPr>
        <w:t xml:space="preserve"> –</w:t>
      </w:r>
      <w:r w:rsidR="00DB046A">
        <w:rPr>
          <w:b/>
          <w:bCs/>
        </w:rPr>
        <w:t xml:space="preserve"> </w:t>
      </w:r>
      <w:r w:rsidR="00DB046A" w:rsidRPr="00DB046A">
        <w:rPr>
          <w:b/>
          <w:bCs/>
        </w:rPr>
        <w:t xml:space="preserve">Pro majitele bytů začíná rizikové období. </w:t>
      </w:r>
      <w:r w:rsidR="0000102D" w:rsidRPr="0000102D">
        <w:rPr>
          <w:b/>
          <w:bCs/>
        </w:rPr>
        <w:t>Zatímco společenství vlastníků jednotek (SVJ) mají na roční vyúčtování služeb čas do konce dubna, pronajímatelé musí včas zajistit i vypořádání služeb s nájemci</w:t>
      </w:r>
      <w:r w:rsidR="00DB046A" w:rsidRPr="00DB046A">
        <w:rPr>
          <w:b/>
          <w:bCs/>
        </w:rPr>
        <w:t>.</w:t>
      </w:r>
      <w:r w:rsidR="001D4D25">
        <w:rPr>
          <w:b/>
          <w:bCs/>
        </w:rPr>
        <w:t xml:space="preserve"> N</w:t>
      </w:r>
      <w:r w:rsidR="00DB046A" w:rsidRPr="00DB046A">
        <w:rPr>
          <w:b/>
          <w:bCs/>
        </w:rPr>
        <w:t xml:space="preserve">ejčastějším kamenem úrazu </w:t>
      </w:r>
      <w:r w:rsidR="001D4D25">
        <w:rPr>
          <w:b/>
          <w:bCs/>
        </w:rPr>
        <w:t xml:space="preserve">jsou </w:t>
      </w:r>
      <w:r w:rsidR="001D4D25" w:rsidRPr="001D4D25">
        <w:rPr>
          <w:b/>
          <w:bCs/>
        </w:rPr>
        <w:t>povinn</w:t>
      </w:r>
      <w:r w:rsidR="001D4D25">
        <w:rPr>
          <w:b/>
          <w:bCs/>
        </w:rPr>
        <w:t>é</w:t>
      </w:r>
      <w:r w:rsidR="001D4D25" w:rsidRPr="001D4D25">
        <w:rPr>
          <w:b/>
          <w:bCs/>
        </w:rPr>
        <w:t xml:space="preserve"> lhůt</w:t>
      </w:r>
      <w:r w:rsidR="001D4D25">
        <w:rPr>
          <w:b/>
          <w:bCs/>
        </w:rPr>
        <w:t>y,</w:t>
      </w:r>
      <w:r w:rsidR="001D4D25" w:rsidRPr="001D4D25">
        <w:rPr>
          <w:b/>
          <w:bCs/>
        </w:rPr>
        <w:t xml:space="preserve"> </w:t>
      </w:r>
      <w:r w:rsidR="00DB046A" w:rsidRPr="00DB046A">
        <w:rPr>
          <w:b/>
          <w:bCs/>
        </w:rPr>
        <w:t xml:space="preserve">neoprávněně účtované položky nebo zmatek při střídání nájemců. Jak zvládnout vyúčtování služeb a vyhnout se </w:t>
      </w:r>
      <w:r w:rsidR="0000102D" w:rsidRPr="0000102D">
        <w:rPr>
          <w:b/>
          <w:bCs/>
        </w:rPr>
        <w:t>sankcím</w:t>
      </w:r>
      <w:r w:rsidR="00DB046A" w:rsidRPr="00DB046A">
        <w:rPr>
          <w:b/>
          <w:bCs/>
        </w:rPr>
        <w:t>?</w:t>
      </w:r>
      <w:r w:rsidR="00282C41">
        <w:rPr>
          <w:b/>
          <w:bCs/>
        </w:rPr>
        <w:t xml:space="preserve"> </w:t>
      </w:r>
      <w:r w:rsidR="001D4D25">
        <w:rPr>
          <w:b/>
          <w:bCs/>
        </w:rPr>
        <w:t xml:space="preserve">Nejen na tyto situace se </w:t>
      </w:r>
      <w:r w:rsidR="001D4D25" w:rsidRPr="001D4D25">
        <w:rPr>
          <w:b/>
          <w:bCs/>
        </w:rPr>
        <w:t xml:space="preserve">zaměřuje společnost </w:t>
      </w:r>
      <w:r w:rsidR="001D4D25" w:rsidRPr="00F97F32">
        <w:rPr>
          <w:b/>
          <w:bCs/>
        </w:rPr>
        <w:t>FLET.</w:t>
      </w:r>
    </w:p>
    <w:p w14:paraId="21DF995D" w14:textId="5C943646" w:rsidR="00CB378D" w:rsidRDefault="0028041B" w:rsidP="00BD64EB">
      <w:r w:rsidRPr="0028041B">
        <w:t xml:space="preserve">Podle zákona musí SVJ doručit vlastníkům roční vyúčtování za předchozí kalendářní rok nejpozději do čtyř měsíců po skončení zúčtovacího období, tedy obvykle do konce dubna. </w:t>
      </w:r>
      <w:r w:rsidR="0000102D" w:rsidRPr="0000102D">
        <w:t>Vlastníci bytů, kteří byt pronajímají, následně musí zajistit vyúčtování nákladů svým nájemcům nebo podnájemníkům.</w:t>
      </w:r>
      <w:r>
        <w:t xml:space="preserve"> </w:t>
      </w:r>
      <w:r w:rsidR="0000102D" w:rsidRPr="0000102D">
        <w:t>Ti by si po doručení vyúčtování měli zkontrolovat, zda odpovídají účtované služby, zálohy, počet osob rozhodných pro rozúčtování, údaje z měřidel, zúčtovací období i výpočet přeplatku nebo nedoplatku.</w:t>
      </w:r>
      <w:r w:rsidR="007D5A4E" w:rsidRPr="007D5A4E">
        <w:t xml:space="preserve"> </w:t>
      </w:r>
      <w:r w:rsidR="0000102D" w:rsidRPr="0000102D">
        <w:t>Pokud něco chybí</w:t>
      </w:r>
      <w:r w:rsidR="00EF6B5E">
        <w:t>,</w:t>
      </w:r>
      <w:r w:rsidR="0000102D" w:rsidRPr="0000102D">
        <w:t xml:space="preserve"> nebo není jasné, měli by do 30 dnů požádat o podklady a případně uplatnit námitky.</w:t>
      </w:r>
      <w:r w:rsidR="0000102D">
        <w:t xml:space="preserve"> </w:t>
      </w:r>
      <w:r w:rsidR="0000102D" w:rsidRPr="0000102D">
        <w:t>Pronajímatel má poté dalších 30 dnů na doložení podkladů nebo vyřízení námitek.</w:t>
      </w:r>
      <w:r w:rsidR="00BD64EB">
        <w:t xml:space="preserve"> Přeplatek nebo nedoplatek musí být vypořádán nejpozději do 4 měsíců od doručení vyúčtování.</w:t>
      </w:r>
    </w:p>
    <w:p w14:paraId="1A0B5962" w14:textId="2EB55A6F" w:rsidR="00CB378D" w:rsidRDefault="00DB046A" w:rsidP="00075D37">
      <w:r w:rsidRPr="00DB046A">
        <w:rPr>
          <w:i/>
          <w:iCs/>
        </w:rPr>
        <w:t xml:space="preserve">„V případě, že vyúčtování není doručeno včas, může vzniknout nárok na zákonnou sankci za prodlení. </w:t>
      </w:r>
      <w:r w:rsidR="0000102D" w:rsidRPr="0000102D">
        <w:rPr>
          <w:i/>
          <w:iCs/>
        </w:rPr>
        <w:t>Ta může činit až 50 Kč za každý započatý den prodlení, pokud není ujednáno jinak</w:t>
      </w:r>
      <w:r w:rsidRPr="00DB046A">
        <w:rPr>
          <w:i/>
          <w:iCs/>
        </w:rPr>
        <w:t xml:space="preserve">. </w:t>
      </w:r>
      <w:r w:rsidR="0000102D">
        <w:rPr>
          <w:i/>
          <w:iCs/>
        </w:rPr>
        <w:t>V</w:t>
      </w:r>
      <w:r w:rsidRPr="00DB046A">
        <w:rPr>
          <w:i/>
          <w:iCs/>
        </w:rPr>
        <w:t xml:space="preserve"> prax</w:t>
      </w:r>
      <w:r w:rsidR="0000102D">
        <w:rPr>
          <w:i/>
          <w:iCs/>
        </w:rPr>
        <w:t>i</w:t>
      </w:r>
      <w:r w:rsidRPr="00DB046A">
        <w:rPr>
          <w:i/>
          <w:iCs/>
        </w:rPr>
        <w:t xml:space="preserve"> vidíme, že právě časová návaznost mezi jednotlivými kroky je jedním z nejproblematičtějších míst celého systému,“</w:t>
      </w:r>
      <w:r w:rsidRPr="00DB046A">
        <w:t xml:space="preserve"> popisuje David Bureš, zakladatel a CEO FLET. </w:t>
      </w:r>
      <w:r w:rsidR="0000102D" w:rsidRPr="0000102D">
        <w:t xml:space="preserve">Vyúčtování nájemníkům totiž často závisí na tom, kdy SVJ poskytne vlastníkovi finální podklady. </w:t>
      </w:r>
      <w:r w:rsidRPr="00DB046A">
        <w:rPr>
          <w:i/>
          <w:iCs/>
        </w:rPr>
        <w:t>„</w:t>
      </w:r>
      <w:r w:rsidR="0000102D" w:rsidRPr="0000102D">
        <w:rPr>
          <w:i/>
          <w:iCs/>
        </w:rPr>
        <w:t>Pokud dojde ke zpoždění na úrovni domu, může se to následně promítnout i do vyúčtování vůči nájemníkům</w:t>
      </w:r>
      <w:r w:rsidRPr="00DB046A">
        <w:rPr>
          <w:i/>
          <w:iCs/>
        </w:rPr>
        <w:t>,“</w:t>
      </w:r>
      <w:r w:rsidRPr="00DB046A">
        <w:t xml:space="preserve"> dodává Bureš.</w:t>
      </w:r>
    </w:p>
    <w:p w14:paraId="72883A0C" w14:textId="0FD6C296" w:rsidR="00DB046A" w:rsidRPr="00DB046A" w:rsidRDefault="00DB046A" w:rsidP="00075D37">
      <w:pPr>
        <w:rPr>
          <w:b/>
          <w:bCs/>
        </w:rPr>
      </w:pPr>
      <w:r w:rsidRPr="00DB046A">
        <w:rPr>
          <w:b/>
          <w:bCs/>
        </w:rPr>
        <w:t>Fond oprav a střídání nájemců</w:t>
      </w:r>
    </w:p>
    <w:p w14:paraId="7DDDD6B0" w14:textId="13E16873" w:rsidR="00DB046A" w:rsidRDefault="0000102D" w:rsidP="00075D37">
      <w:r w:rsidRPr="0000102D">
        <w:t>Změna nájemníka nebo podnájemníka může v průběhu roku přinést další komplikace.</w:t>
      </w:r>
      <w:r w:rsidR="00DB046A">
        <w:t xml:space="preserve"> V těchto případech se doporučuje náklady správně rozdělit podle období užívání bytu, pracovat s odečty měřidel při předání bytu a zohlednit všechny zaplacené zálohy.</w:t>
      </w:r>
      <w:r w:rsidR="00282C41">
        <w:t xml:space="preserve"> </w:t>
      </w:r>
      <w:r w:rsidR="00282C41" w:rsidRPr="00282C41">
        <w:t>Pro investory, kteří nemají na administrativu čas, FLET</w:t>
      </w:r>
      <w:r w:rsidR="00282C41">
        <w:t xml:space="preserve"> </w:t>
      </w:r>
      <w:r w:rsidR="00C8332C">
        <w:t xml:space="preserve">zajišťuje </w:t>
      </w:r>
      <w:r w:rsidR="00282C41" w:rsidRPr="00282C41">
        <w:t xml:space="preserve">komplexní servis zahrnující vyhledávání </w:t>
      </w:r>
      <w:r w:rsidR="00C8332C">
        <w:t xml:space="preserve">bytů a </w:t>
      </w:r>
      <w:r w:rsidR="00282C41" w:rsidRPr="00282C41">
        <w:t>nájemníků, financování i následnou správu nemovitostí, čímž se riziko chyb v</w:t>
      </w:r>
      <w:r w:rsidR="00C8332C">
        <w:t xml:space="preserve">e vyúčtování </w:t>
      </w:r>
      <w:r w:rsidR="00282C41" w:rsidRPr="00282C41">
        <w:t>minimalizuje.</w:t>
      </w:r>
    </w:p>
    <w:p w14:paraId="06096F8C" w14:textId="42820E8E" w:rsidR="001B319B" w:rsidRDefault="00DB046A" w:rsidP="00075D37">
      <w:r>
        <w:t>V praxi se rovněž poměrně často objevují případy, kdy jsou do vyúčtování zahrnovány také položky, které přímo nesouvisejí s užíváním bytu. Jedná se zejména o příspěvky do fondu oprav, náklady na správu domu nebo pojištění budovy. Tyto výdaje se vztahují k vlastnictví nemovitosti a standardně by neměly být přenášeny na nájemce.</w:t>
      </w:r>
    </w:p>
    <w:p w14:paraId="1E6AE21E" w14:textId="6EF4959C" w:rsidR="00526C29" w:rsidRDefault="0000102D" w:rsidP="00075D37">
      <w:r w:rsidRPr="0000102D">
        <w:t>SVJ má v tomto procesu důležitou, ale nepřímou roli.</w:t>
      </w:r>
      <w:r>
        <w:t xml:space="preserve"> </w:t>
      </w:r>
      <w:r w:rsidR="00526C29" w:rsidRPr="00526C29">
        <w:t xml:space="preserve">V domě rozděleném na jednotky bývá SVJ poskytovatelem služeb vůči vlastníkům jednotek a může rozhodovat o rozsahu služeb, výši záloh, způsobu rozúčtování </w:t>
      </w:r>
      <w:r w:rsidRPr="0000102D">
        <w:t>a také o výši pokuty v mezích zákona</w:t>
      </w:r>
      <w:r w:rsidR="00526C29" w:rsidRPr="00526C29">
        <w:t>.</w:t>
      </w:r>
      <w:r w:rsidR="00526C29">
        <w:t xml:space="preserve"> </w:t>
      </w:r>
      <w:r w:rsidRPr="0000102D">
        <w:t>Za řádné a včasné vyúčtování vůči nájemci však zpravidla odpovídá pronajímatel jako vlastník bytu.</w:t>
      </w:r>
    </w:p>
    <w:p w14:paraId="5DA64F31" w14:textId="7F793935" w:rsidR="00DB046A" w:rsidRDefault="00DB046A" w:rsidP="00075D37">
      <w:pPr>
        <w:rPr>
          <w:b/>
          <w:bCs/>
        </w:rPr>
      </w:pPr>
      <w:r>
        <w:rPr>
          <w:b/>
          <w:bCs/>
        </w:rPr>
        <w:t>Na co si dát pozor</w:t>
      </w:r>
    </w:p>
    <w:p w14:paraId="7062C8F6" w14:textId="554BEB71" w:rsidR="006A610C" w:rsidRDefault="00DB046A" w:rsidP="00075D37">
      <w:pPr>
        <w:rPr>
          <w:rFonts w:cstheme="minorHAnsi"/>
          <w:kern w:val="0"/>
        </w:rPr>
      </w:pPr>
      <w:r w:rsidRPr="009454C8">
        <w:rPr>
          <w:rFonts w:cstheme="minorHAnsi"/>
          <w:kern w:val="0"/>
        </w:rPr>
        <w:lastRenderedPageBreak/>
        <w:t>Současná legislativní úprava</w:t>
      </w:r>
      <w:r>
        <w:rPr>
          <w:rFonts w:cstheme="minorHAnsi"/>
          <w:kern w:val="0"/>
        </w:rPr>
        <w:t xml:space="preserve"> </w:t>
      </w:r>
      <w:r w:rsidRPr="009454C8">
        <w:rPr>
          <w:rFonts w:cstheme="minorHAnsi"/>
          <w:kern w:val="0"/>
        </w:rPr>
        <w:t xml:space="preserve">není z pohledu praxe úplně </w:t>
      </w:r>
      <w:r w:rsidRPr="00B47470">
        <w:rPr>
          <w:rFonts w:cstheme="minorHAnsi"/>
          <w:kern w:val="0"/>
        </w:rPr>
        <w:t>ideální. Kombinace několika navazujících lhůt, různých zdrojů dat a poměrně přísných sankcí za prodlení vytvář</w:t>
      </w:r>
      <w:r w:rsidR="00EF6B5E">
        <w:rPr>
          <w:rFonts w:cstheme="minorHAnsi"/>
          <w:kern w:val="0"/>
        </w:rPr>
        <w:t>ej</w:t>
      </w:r>
      <w:r w:rsidRPr="00B47470">
        <w:rPr>
          <w:rFonts w:cstheme="minorHAnsi"/>
          <w:kern w:val="0"/>
        </w:rPr>
        <w:t>í situace, kdy se i při běžném administrativním zpoždění může celý proces zkomplikovat</w:t>
      </w:r>
      <w:r w:rsidR="00B47470">
        <w:rPr>
          <w:rFonts w:cstheme="minorHAnsi"/>
          <w:kern w:val="0"/>
        </w:rPr>
        <w:t xml:space="preserve">. </w:t>
      </w:r>
      <w:r w:rsidR="00B47470" w:rsidRPr="00B47470">
        <w:rPr>
          <w:rFonts w:cstheme="minorHAnsi"/>
          <w:i/>
          <w:iCs/>
          <w:kern w:val="0"/>
        </w:rPr>
        <w:t>„</w:t>
      </w:r>
      <w:r w:rsidRPr="00B47470">
        <w:rPr>
          <w:rFonts w:cstheme="minorHAnsi"/>
          <w:i/>
          <w:iCs/>
          <w:kern w:val="0"/>
        </w:rPr>
        <w:t>Důležitým prvkem vyúčtování je jeho transparentnost a přehlednost. Nájemce by měl mít z vyúčtování jasn</w:t>
      </w:r>
      <w:r w:rsidR="00EF6B5E">
        <w:rPr>
          <w:rFonts w:cstheme="minorHAnsi"/>
          <w:i/>
          <w:iCs/>
          <w:kern w:val="0"/>
        </w:rPr>
        <w:t>ý</w:t>
      </w:r>
      <w:r w:rsidRPr="00B47470">
        <w:rPr>
          <w:rFonts w:cstheme="minorHAnsi"/>
          <w:i/>
          <w:iCs/>
          <w:kern w:val="0"/>
        </w:rPr>
        <w:t xml:space="preserve"> </w:t>
      </w:r>
      <w:r w:rsidR="00EF6B5E">
        <w:rPr>
          <w:rFonts w:cstheme="minorHAnsi"/>
          <w:i/>
          <w:iCs/>
          <w:kern w:val="0"/>
        </w:rPr>
        <w:t>přehled o tom</w:t>
      </w:r>
      <w:r w:rsidRPr="00B47470">
        <w:rPr>
          <w:rFonts w:cstheme="minorHAnsi"/>
          <w:i/>
          <w:iCs/>
          <w:kern w:val="0"/>
        </w:rPr>
        <w:t>, z jakých podkladů vychází, jak byly jednotlivé náklady rozúčtovány a jakým způsobem vznikl výsledný přeplatek nebo nedoplatek</w:t>
      </w:r>
      <w:r w:rsidR="00B47470" w:rsidRPr="00B47470">
        <w:rPr>
          <w:rFonts w:cstheme="minorHAnsi"/>
          <w:i/>
          <w:iCs/>
          <w:kern w:val="0"/>
        </w:rPr>
        <w:t>,“</w:t>
      </w:r>
      <w:r w:rsidR="00B47470" w:rsidRPr="00B47470">
        <w:rPr>
          <w:rFonts w:cstheme="minorHAnsi"/>
          <w:kern w:val="0"/>
        </w:rPr>
        <w:t xml:space="preserve"> upozorňuje Bureš.</w:t>
      </w:r>
    </w:p>
    <w:p w14:paraId="16653727" w14:textId="19505EF1" w:rsidR="00DA2BB7" w:rsidRDefault="0000102D" w:rsidP="00075D37">
      <w:r w:rsidRPr="0000102D">
        <w:t>Pokud je příjemce služeb alespoň 3 měsíce v prodlení s úhradou služeb nebo záloh, může nejvyšší orgán družstva nebo SVJ za podmínek stanovených zákonem rozhodnout o dočasném omezení nebo neposkytování některých služeb. Po uhrazení dluhu mají být tyto služby bez zbytečného odkladu obnoveny.</w:t>
      </w:r>
    </w:p>
    <w:p w14:paraId="34E5CE06" w14:textId="77777777" w:rsidR="00BD64EB" w:rsidRPr="006A610C" w:rsidRDefault="00BD64EB" w:rsidP="00BD64EB">
      <w:r w:rsidRPr="009726C4">
        <w:rPr>
          <w:b/>
          <w:bCs/>
        </w:rPr>
        <w:t>O společnosti FLET</w:t>
      </w:r>
    </w:p>
    <w:p w14:paraId="6F1D944B" w14:textId="186B56B9" w:rsidR="00BD64EB" w:rsidRDefault="00BD64EB" w:rsidP="00BD64EB">
      <w:pPr>
        <w:spacing w:before="240" w:after="0"/>
      </w:pPr>
      <w:r>
        <w:t>Firmu F</w:t>
      </w:r>
      <w:r w:rsidR="00EF6B5E">
        <w:t>LET</w:t>
      </w:r>
      <w:r>
        <w:t xml:space="preserve"> (dříve Bureš &amp; partneři) tvoří tým profesionálů specializujících se na vyhledávání, financování, rekonstrukce, pronájem a správu investičních nemovitostí v Praze. Klientům pomáhají získat z nemovitosti maximální výnos a s 25 lety praxe a </w:t>
      </w:r>
      <w:r w:rsidR="00A441DA">
        <w:t>kolem 8</w:t>
      </w:r>
      <w:r>
        <w:t>00 byt</w:t>
      </w:r>
      <w:r w:rsidR="00A441DA">
        <w:t>ů</w:t>
      </w:r>
      <w:r>
        <w:t xml:space="preserve"> </w:t>
      </w:r>
      <w:r w:rsidR="00A441DA">
        <w:t>ve správě</w:t>
      </w:r>
      <w:r w:rsidR="00A441DA">
        <w:t xml:space="preserve"> </w:t>
      </w:r>
      <w:r w:rsidR="00A441DA" w:rsidRPr="00A441DA">
        <w:t xml:space="preserve">v celkové hodnotě zhruba 6 miliard korun </w:t>
      </w:r>
      <w:r>
        <w:t xml:space="preserve">patří v České republice mezi špičku. Hledají způsob, jak klientům zlepšit život a naplnit jejich sny o finanční nezávislosti. Nabízejí komplexní přístup od stanovení klientova cíle až po jeho naplnění, přičemž zásadní je přátelské prostředí, férové jednání a jasná vize. Více na </w:t>
      </w:r>
      <w:hyperlink r:id="rId8" w:history="1">
        <w:r w:rsidRPr="00DB046A">
          <w:rPr>
            <w:rStyle w:val="Hypertextovodkaz"/>
            <w:b/>
            <w:bCs/>
          </w:rPr>
          <w:t>www.flet.cz</w:t>
        </w:r>
      </w:hyperlink>
      <w:r>
        <w:t>.</w:t>
      </w:r>
    </w:p>
    <w:p w14:paraId="5CCEF276" w14:textId="77777777" w:rsidR="00BD64EB" w:rsidRPr="007571FB" w:rsidRDefault="00BD64EB" w:rsidP="00BD64EB">
      <w:pPr>
        <w:spacing w:before="240" w:after="0"/>
        <w:rPr>
          <w:b/>
          <w:bCs/>
        </w:rPr>
      </w:pPr>
      <w:r w:rsidRPr="007571FB">
        <w:rPr>
          <w:b/>
          <w:bCs/>
        </w:rPr>
        <w:t>Kontakt pro média</w:t>
      </w:r>
    </w:p>
    <w:p w14:paraId="0A388465" w14:textId="77777777" w:rsidR="00BD64EB" w:rsidRPr="007571FB" w:rsidRDefault="00BD64EB" w:rsidP="00BD64EB">
      <w:pPr>
        <w:spacing w:before="240" w:after="0"/>
      </w:pPr>
      <w:r w:rsidRPr="007571FB">
        <w:t xml:space="preserve">Jana </w:t>
      </w:r>
      <w:r>
        <w:t>Papoušková</w:t>
      </w:r>
    </w:p>
    <w:p w14:paraId="353BBCE8" w14:textId="77777777" w:rsidR="00BD64EB" w:rsidRPr="007571FB" w:rsidRDefault="00BD64EB" w:rsidP="00BD64EB">
      <w:pPr>
        <w:spacing w:after="0"/>
      </w:pPr>
      <w:proofErr w:type="spellStart"/>
      <w:r w:rsidRPr="007571FB">
        <w:t>Account</w:t>
      </w:r>
      <w:proofErr w:type="spellEnd"/>
      <w:r w:rsidRPr="007571FB">
        <w:t xml:space="preserve"> Manager</w:t>
      </w:r>
    </w:p>
    <w:p w14:paraId="4FCADC2F" w14:textId="77777777" w:rsidR="00BD64EB" w:rsidRPr="007571FB" w:rsidRDefault="00BD64EB" w:rsidP="00BD64EB">
      <w:pPr>
        <w:spacing w:after="0"/>
      </w:pPr>
      <w:r w:rsidRPr="007571FB">
        <w:t>Stance Communications, s.r.o.</w:t>
      </w:r>
    </w:p>
    <w:p w14:paraId="346DD0FD" w14:textId="77777777" w:rsidR="00BD64EB" w:rsidRPr="007571FB" w:rsidRDefault="00BD64EB" w:rsidP="00BD64EB">
      <w:pPr>
        <w:spacing w:after="0"/>
      </w:pPr>
      <w:r w:rsidRPr="007571FB">
        <w:t>Jungmannova 750/34, 110 00 Praha 1</w:t>
      </w:r>
    </w:p>
    <w:p w14:paraId="73F7528C" w14:textId="77777777" w:rsidR="00BD64EB" w:rsidRPr="007571FB" w:rsidRDefault="00BD64EB" w:rsidP="00BD64EB">
      <w:pPr>
        <w:spacing w:after="0"/>
      </w:pPr>
      <w:r w:rsidRPr="007571FB">
        <w:t>Tel.: +420 602 434 733</w:t>
      </w:r>
    </w:p>
    <w:p w14:paraId="7226C07D" w14:textId="77777777" w:rsidR="00BD64EB" w:rsidRDefault="00BD64EB" w:rsidP="00BD64EB">
      <w:pPr>
        <w:spacing w:after="0"/>
      </w:pPr>
      <w:r w:rsidRPr="007571FB">
        <w:t>E-mail: jana.</w:t>
      </w:r>
      <w:r>
        <w:t>papouskova</w:t>
      </w:r>
      <w:r w:rsidRPr="007571FB">
        <w:t>@stance.cz</w:t>
      </w:r>
    </w:p>
    <w:p w14:paraId="7608DFE7" w14:textId="1B4A8A25" w:rsidR="00205495" w:rsidRDefault="00205495" w:rsidP="00075D37">
      <w:pPr>
        <w:spacing w:after="0"/>
      </w:pPr>
    </w:p>
    <w:sectPr w:rsidR="00205495" w:rsidSect="009726C4">
      <w:head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2A0B" w14:textId="77777777" w:rsidR="00D929DA" w:rsidRDefault="00D929DA" w:rsidP="009726C4">
      <w:pPr>
        <w:spacing w:after="0" w:line="240" w:lineRule="auto"/>
      </w:pPr>
      <w:r>
        <w:separator/>
      </w:r>
    </w:p>
  </w:endnote>
  <w:endnote w:type="continuationSeparator" w:id="0">
    <w:p w14:paraId="0C935FD4" w14:textId="77777777" w:rsidR="00D929DA" w:rsidRDefault="00D929DA" w:rsidP="0097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9B2E" w14:textId="77777777" w:rsidR="00D929DA" w:rsidRDefault="00D929DA" w:rsidP="009726C4">
      <w:pPr>
        <w:spacing w:after="0" w:line="240" w:lineRule="auto"/>
      </w:pPr>
      <w:r>
        <w:separator/>
      </w:r>
    </w:p>
  </w:footnote>
  <w:footnote w:type="continuationSeparator" w:id="0">
    <w:p w14:paraId="1BA5D44E" w14:textId="77777777" w:rsidR="00D929DA" w:rsidRDefault="00D929DA" w:rsidP="0097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6C47" w14:textId="77777777" w:rsidR="009726C4" w:rsidRDefault="009726C4" w:rsidP="009726C4">
    <w:pPr>
      <w:pStyle w:val="Typdokumentu"/>
      <w:rPr>
        <w:rFonts w:ascii="Times New Roman" w:hAnsi="Times New Roman"/>
      </w:rPr>
    </w:pPr>
  </w:p>
  <w:p w14:paraId="3C352CF5" w14:textId="59E362F1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CB378D">
      <w:rPr>
        <w:rFonts w:ascii="Times New Roman" w:hAnsi="Times New Roman"/>
      </w:rPr>
      <w:t>Tisková zpráva</w:t>
    </w:r>
    <w:r w:rsidRPr="008861FF">
      <w:rPr>
        <w:noProof/>
      </w:rPr>
      <w:drawing>
        <wp:anchor distT="0" distB="0" distL="114300" distR="114300" simplePos="0" relativeHeight="251659264" behindDoc="1" locked="0" layoutInCell="1" allowOverlap="1" wp14:anchorId="612ECF51" wp14:editId="5BD4447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0113" cy="257175"/>
          <wp:effectExtent l="0" t="0" r="0" b="0"/>
          <wp:wrapNone/>
          <wp:docPr id="12999835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113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8E43BB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29C7C7BE" w14:textId="77777777" w:rsid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  <w:p w14:paraId="5D32F404" w14:textId="77777777" w:rsidR="009726C4" w:rsidRPr="009726C4" w:rsidRDefault="009726C4" w:rsidP="009726C4">
    <w:pPr>
      <w:pStyle w:val="Typdokumentu"/>
      <w:tabs>
        <w:tab w:val="left" w:pos="1095"/>
        <w:tab w:val="right" w:pos="9072"/>
      </w:tabs>
      <w:jc w:val="lef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134A"/>
    <w:multiLevelType w:val="hybridMultilevel"/>
    <w:tmpl w:val="673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1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C4"/>
    <w:rsid w:val="0000102D"/>
    <w:rsid w:val="00007185"/>
    <w:rsid w:val="000256F6"/>
    <w:rsid w:val="0004674B"/>
    <w:rsid w:val="000503AC"/>
    <w:rsid w:val="00075D37"/>
    <w:rsid w:val="0008723B"/>
    <w:rsid w:val="000A7B0A"/>
    <w:rsid w:val="000B2BFF"/>
    <w:rsid w:val="000E154E"/>
    <w:rsid w:val="000E1AE1"/>
    <w:rsid w:val="000F2EE9"/>
    <w:rsid w:val="00101314"/>
    <w:rsid w:val="00102D24"/>
    <w:rsid w:val="00114C19"/>
    <w:rsid w:val="00136F02"/>
    <w:rsid w:val="00155B78"/>
    <w:rsid w:val="00193E99"/>
    <w:rsid w:val="001B319B"/>
    <w:rsid w:val="001D4D25"/>
    <w:rsid w:val="00205495"/>
    <w:rsid w:val="00210D9C"/>
    <w:rsid w:val="00224B6E"/>
    <w:rsid w:val="002335F4"/>
    <w:rsid w:val="00251E1A"/>
    <w:rsid w:val="0028041B"/>
    <w:rsid w:val="00282C41"/>
    <w:rsid w:val="002B6967"/>
    <w:rsid w:val="002C3C6D"/>
    <w:rsid w:val="002E59A9"/>
    <w:rsid w:val="003560D6"/>
    <w:rsid w:val="00367812"/>
    <w:rsid w:val="003F2EC1"/>
    <w:rsid w:val="003F3021"/>
    <w:rsid w:val="00404DAD"/>
    <w:rsid w:val="00415BEB"/>
    <w:rsid w:val="004173FC"/>
    <w:rsid w:val="00431206"/>
    <w:rsid w:val="00457DB1"/>
    <w:rsid w:val="004B627B"/>
    <w:rsid w:val="00514D8A"/>
    <w:rsid w:val="00526C29"/>
    <w:rsid w:val="00540E76"/>
    <w:rsid w:val="005642ED"/>
    <w:rsid w:val="005D00F8"/>
    <w:rsid w:val="00644F55"/>
    <w:rsid w:val="00647FD0"/>
    <w:rsid w:val="00653C87"/>
    <w:rsid w:val="00684A64"/>
    <w:rsid w:val="006A610C"/>
    <w:rsid w:val="006B518D"/>
    <w:rsid w:val="006B6609"/>
    <w:rsid w:val="00705052"/>
    <w:rsid w:val="007571FB"/>
    <w:rsid w:val="007D5A4E"/>
    <w:rsid w:val="007D7AC6"/>
    <w:rsid w:val="008148F7"/>
    <w:rsid w:val="00846DE7"/>
    <w:rsid w:val="00865A47"/>
    <w:rsid w:val="00866BD6"/>
    <w:rsid w:val="008B51E0"/>
    <w:rsid w:val="008B5F5C"/>
    <w:rsid w:val="008F54BE"/>
    <w:rsid w:val="00942881"/>
    <w:rsid w:val="00962CC5"/>
    <w:rsid w:val="009726C4"/>
    <w:rsid w:val="009A7EF4"/>
    <w:rsid w:val="009B4CAB"/>
    <w:rsid w:val="00A01EFE"/>
    <w:rsid w:val="00A16B6D"/>
    <w:rsid w:val="00A17D62"/>
    <w:rsid w:val="00A441DA"/>
    <w:rsid w:val="00A66B28"/>
    <w:rsid w:val="00A774A3"/>
    <w:rsid w:val="00A90C36"/>
    <w:rsid w:val="00AA6C19"/>
    <w:rsid w:val="00AD1DCE"/>
    <w:rsid w:val="00AF25F4"/>
    <w:rsid w:val="00AF5C7C"/>
    <w:rsid w:val="00B47470"/>
    <w:rsid w:val="00B7241D"/>
    <w:rsid w:val="00B92A98"/>
    <w:rsid w:val="00BD4F07"/>
    <w:rsid w:val="00BD64EB"/>
    <w:rsid w:val="00C60C3F"/>
    <w:rsid w:val="00C8332C"/>
    <w:rsid w:val="00C8658C"/>
    <w:rsid w:val="00C902C0"/>
    <w:rsid w:val="00CA4F3B"/>
    <w:rsid w:val="00CA7DC6"/>
    <w:rsid w:val="00CB378D"/>
    <w:rsid w:val="00D929DA"/>
    <w:rsid w:val="00DA2BB7"/>
    <w:rsid w:val="00DA553C"/>
    <w:rsid w:val="00DB046A"/>
    <w:rsid w:val="00DB59DA"/>
    <w:rsid w:val="00DD28A6"/>
    <w:rsid w:val="00DF162D"/>
    <w:rsid w:val="00DF3DD2"/>
    <w:rsid w:val="00E35E95"/>
    <w:rsid w:val="00E50DDD"/>
    <w:rsid w:val="00E56ECB"/>
    <w:rsid w:val="00E7451D"/>
    <w:rsid w:val="00EB3089"/>
    <w:rsid w:val="00EE397A"/>
    <w:rsid w:val="00EE68FD"/>
    <w:rsid w:val="00EF6B5E"/>
    <w:rsid w:val="00EF6F66"/>
    <w:rsid w:val="00F025BA"/>
    <w:rsid w:val="00F569CC"/>
    <w:rsid w:val="00F60254"/>
    <w:rsid w:val="00F714FF"/>
    <w:rsid w:val="00F93088"/>
    <w:rsid w:val="00F97F32"/>
    <w:rsid w:val="00FA7908"/>
    <w:rsid w:val="00FD5E58"/>
    <w:rsid w:val="00FE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9D84A6"/>
  <w15:chartTrackingRefBased/>
  <w15:docId w15:val="{0B4B96F1-6343-45F5-879D-38AF332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46A"/>
  </w:style>
  <w:style w:type="paragraph" w:styleId="Nadpis1">
    <w:name w:val="heading 1"/>
    <w:basedOn w:val="Normln"/>
    <w:next w:val="Normln"/>
    <w:link w:val="Nadpis1Char"/>
    <w:uiPriority w:val="9"/>
    <w:qFormat/>
    <w:rsid w:val="00972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2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2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2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2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2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2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2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2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2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2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2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26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26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26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26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26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26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2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2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2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2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2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26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26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726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2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26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26C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26C4"/>
  </w:style>
  <w:style w:type="paragraph" w:styleId="Zpat">
    <w:name w:val="footer"/>
    <w:basedOn w:val="Normln"/>
    <w:link w:val="ZpatChar"/>
    <w:uiPriority w:val="99"/>
    <w:unhideWhenUsed/>
    <w:rsid w:val="00972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26C4"/>
  </w:style>
  <w:style w:type="paragraph" w:customStyle="1" w:styleId="Typdokumentu">
    <w:name w:val="Typ dokumentu"/>
    <w:rsid w:val="009726C4"/>
    <w:pPr>
      <w:spacing w:after="0" w:line="240" w:lineRule="atLeast"/>
      <w:jc w:val="right"/>
    </w:pPr>
    <w:rPr>
      <w:rFonts w:ascii="Arial" w:eastAsia="Times New Roman" w:hAnsi="Arial" w:cs="Times New Roman"/>
      <w:bCs/>
      <w:caps/>
      <w:kern w:val="0"/>
      <w:sz w:val="16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A17D6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71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71FB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F5C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F5C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F5C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F5C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F5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6CA19-065F-407D-8490-C27CA2BF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Kokešová Jana</dc:creator>
  <cp:keywords/>
  <dc:description/>
  <cp:lastModifiedBy>Březina Dominik</cp:lastModifiedBy>
  <cp:revision>8</cp:revision>
  <dcterms:created xsi:type="dcterms:W3CDTF">2026-04-08T16:20:00Z</dcterms:created>
  <dcterms:modified xsi:type="dcterms:W3CDTF">2026-04-14T07:35:00Z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cea8ada3-362c-41bc-b374-3fe595f1ccad</vt:lpwstr>
  </property>
</Properties>
</file>